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6AB0" w14:textId="77777777" w:rsidR="00AE3231" w:rsidRDefault="00AE3231" w:rsidP="00AE3231">
      <w:pPr>
        <w:pStyle w:val="Heading1"/>
        <w:ind w:left="567"/>
      </w:pPr>
      <w:bookmarkStart w:id="0" w:name="_Toc458777574"/>
      <w:bookmarkStart w:id="1" w:name="_Toc494984610"/>
      <w:r>
        <w:t>Annual Report 2016-17</w:t>
      </w:r>
    </w:p>
    <w:p w14:paraId="43238FCB" w14:textId="77777777" w:rsidR="00AE3231" w:rsidRDefault="00AE3231" w:rsidP="00AE3231">
      <w:pPr>
        <w:pStyle w:val="Heading1"/>
        <w:ind w:left="567"/>
      </w:pPr>
      <w:r w:rsidRPr="00900A46">
        <w:t>Department of Housing and Public Works</w:t>
      </w:r>
      <w:bookmarkEnd w:id="1"/>
    </w:p>
    <w:p w14:paraId="365A6AA9" w14:textId="000C7A5B" w:rsidR="00836AF7" w:rsidRDefault="00836AF7" w:rsidP="00CF0A4C">
      <w:pPr>
        <w:sectPr w:rsidR="00836AF7" w:rsidSect="00E161CB">
          <w:pgSz w:w="11906" w:h="16838" w:code="9"/>
          <w:pgMar w:top="0" w:right="1440" w:bottom="1440" w:left="238" w:header="709" w:footer="709" w:gutter="0"/>
          <w:cols w:space="708"/>
          <w:vAlign w:val="center"/>
          <w:titlePg/>
          <w:docGrid w:linePitch="360"/>
        </w:sectPr>
      </w:pPr>
    </w:p>
    <w:p w14:paraId="213920CA" w14:textId="275545E7" w:rsidR="003561D9" w:rsidRPr="005D3ADE" w:rsidRDefault="00B54B85" w:rsidP="005D3ADE">
      <w:pPr>
        <w:pStyle w:val="Heading1"/>
      </w:pPr>
      <w:bookmarkStart w:id="2" w:name="_Toc494984611"/>
      <w:r w:rsidRPr="005D3ADE">
        <w:lastRenderedPageBreak/>
        <w:t>Letter of compliance</w:t>
      </w:r>
      <w:bookmarkEnd w:id="0"/>
      <w:bookmarkEnd w:id="2"/>
    </w:p>
    <w:p w14:paraId="2EB1B464" w14:textId="77777777" w:rsidR="00455FE3" w:rsidRPr="002508A7" w:rsidRDefault="00455FE3" w:rsidP="00314E43">
      <w:pPr>
        <w:spacing w:after="0"/>
      </w:pPr>
    </w:p>
    <w:p w14:paraId="726233CC" w14:textId="77777777" w:rsidR="00455FE3" w:rsidRPr="009E37D7" w:rsidRDefault="00455FE3" w:rsidP="00314E43">
      <w:pPr>
        <w:spacing w:after="0"/>
      </w:pPr>
      <w:r w:rsidRPr="009E37D7">
        <w:t>The Honourable Mic</w:t>
      </w:r>
      <w:r>
        <w:t>k</w:t>
      </w:r>
      <w:r w:rsidRPr="009E37D7">
        <w:t xml:space="preserve"> de Brenni MP</w:t>
      </w:r>
    </w:p>
    <w:p w14:paraId="3C6A0049" w14:textId="77777777" w:rsidR="00455FE3" w:rsidRDefault="00455FE3" w:rsidP="173C75F6">
      <w:pPr>
        <w:spacing w:after="0"/>
      </w:pPr>
      <w:r w:rsidRPr="009E37D7">
        <w:t xml:space="preserve">Minister for Housing </w:t>
      </w:r>
      <w:r w:rsidRPr="009E37D7" w:rsidDel="00612F5D">
        <w:t>and</w:t>
      </w:r>
      <w:r w:rsidRPr="009E37D7">
        <w:t xml:space="preserve"> Public Works</w:t>
      </w:r>
      <w:r>
        <w:t xml:space="preserve"> and</w:t>
      </w:r>
    </w:p>
    <w:p w14:paraId="4999CF01" w14:textId="77777777" w:rsidR="00455FE3" w:rsidRPr="009E37D7" w:rsidRDefault="00455FE3" w:rsidP="00314E43">
      <w:pPr>
        <w:spacing w:after="0"/>
      </w:pPr>
      <w:r>
        <w:t>Minister for Sport</w:t>
      </w:r>
    </w:p>
    <w:p w14:paraId="2CA73514" w14:textId="77777777" w:rsidR="00455FE3" w:rsidRPr="009E37D7" w:rsidRDefault="00455FE3" w:rsidP="00314E43">
      <w:pPr>
        <w:spacing w:after="0"/>
      </w:pPr>
      <w:r w:rsidRPr="009E37D7">
        <w:t xml:space="preserve">Level </w:t>
      </w:r>
      <w:r>
        <w:t>31</w:t>
      </w:r>
      <w:r w:rsidRPr="009E37D7">
        <w:t xml:space="preserve">, </w:t>
      </w:r>
      <w:r>
        <w:t>1</w:t>
      </w:r>
      <w:r w:rsidRPr="009E37D7">
        <w:t xml:space="preserve"> </w:t>
      </w:r>
      <w:r>
        <w:t>William</w:t>
      </w:r>
      <w:r w:rsidRPr="009E37D7">
        <w:t xml:space="preserve"> Street</w:t>
      </w:r>
    </w:p>
    <w:p w14:paraId="25AC0055" w14:textId="77777777" w:rsidR="00455FE3" w:rsidRPr="009E37D7" w:rsidRDefault="00455FE3" w:rsidP="00314E43">
      <w:pPr>
        <w:spacing w:after="0"/>
      </w:pPr>
      <w:r w:rsidRPr="009E37D7">
        <w:t>Brisbane Qld 4000</w:t>
      </w:r>
    </w:p>
    <w:p w14:paraId="01119D6B" w14:textId="77777777" w:rsidR="00314E43" w:rsidRPr="00314E43" w:rsidRDefault="00314E43" w:rsidP="00314E43">
      <w:pPr>
        <w:spacing w:after="0"/>
      </w:pPr>
    </w:p>
    <w:p w14:paraId="021C8D67" w14:textId="77777777" w:rsidR="00C92247" w:rsidRPr="00314E43" w:rsidRDefault="00C92247" w:rsidP="00314E43">
      <w:pPr>
        <w:spacing w:after="0"/>
      </w:pPr>
    </w:p>
    <w:p w14:paraId="1C694B43" w14:textId="422A6D8E" w:rsidR="00C92247" w:rsidRPr="00314E43" w:rsidRDefault="00C643D9" w:rsidP="00314E43">
      <w:pPr>
        <w:spacing w:after="0"/>
      </w:pPr>
      <w:r>
        <w:t>19</w:t>
      </w:r>
      <w:r w:rsidR="00FF2028" w:rsidRPr="00314E43">
        <w:t xml:space="preserve"> September 2017</w:t>
      </w:r>
    </w:p>
    <w:p w14:paraId="553107F3" w14:textId="57CC8321" w:rsidR="00C92247" w:rsidRDefault="00C92247" w:rsidP="00314E43">
      <w:pPr>
        <w:spacing w:after="0"/>
      </w:pPr>
    </w:p>
    <w:p w14:paraId="5BCF7735" w14:textId="59D08351" w:rsidR="00314E43" w:rsidRDefault="00314E43" w:rsidP="00314E43">
      <w:pPr>
        <w:spacing w:after="0"/>
      </w:pPr>
    </w:p>
    <w:p w14:paraId="2F4AA3ED" w14:textId="77777777" w:rsidR="00314E43" w:rsidRPr="00314E43" w:rsidRDefault="00314E43" w:rsidP="00314E43">
      <w:pPr>
        <w:spacing w:after="0"/>
      </w:pPr>
    </w:p>
    <w:p w14:paraId="550ADA5B" w14:textId="77777777" w:rsidR="00C92247" w:rsidRPr="00314E43" w:rsidRDefault="00C92247" w:rsidP="00314E43">
      <w:pPr>
        <w:spacing w:after="0"/>
      </w:pPr>
      <w:r w:rsidRPr="00314E43">
        <w:t>Dear Minister</w:t>
      </w:r>
    </w:p>
    <w:p w14:paraId="50DE5D07" w14:textId="77777777" w:rsidR="00C92247" w:rsidRPr="00314E43" w:rsidRDefault="00C92247" w:rsidP="00314E43">
      <w:pPr>
        <w:spacing w:after="0"/>
      </w:pPr>
    </w:p>
    <w:p w14:paraId="7DA3B599" w14:textId="2ACC3C3A" w:rsidR="00C92247" w:rsidRPr="00314E43" w:rsidRDefault="00C92247" w:rsidP="00314E43">
      <w:pPr>
        <w:spacing w:after="0"/>
      </w:pPr>
      <w:r w:rsidRPr="00314E43">
        <w:t xml:space="preserve">I am pleased to </w:t>
      </w:r>
      <w:r w:rsidR="00EE3959" w:rsidRPr="00314E43">
        <w:t>submit for presentation to the Parliament</w:t>
      </w:r>
      <w:r w:rsidRPr="00314E43">
        <w:t xml:space="preserve"> the Annual Report 201</w:t>
      </w:r>
      <w:r w:rsidR="00FF2028" w:rsidRPr="00314E43">
        <w:t>6</w:t>
      </w:r>
      <w:r w:rsidRPr="00314E43">
        <w:t>–1</w:t>
      </w:r>
      <w:r w:rsidR="00FF2028" w:rsidRPr="00314E43">
        <w:t>7</w:t>
      </w:r>
      <w:r w:rsidRPr="00314E43">
        <w:t xml:space="preserve"> and financial statements for the Department of Housing and Public Works.</w:t>
      </w:r>
    </w:p>
    <w:p w14:paraId="0C7AA98B" w14:textId="77777777" w:rsidR="00C92247" w:rsidRPr="00314E43" w:rsidRDefault="00C92247" w:rsidP="00314E43">
      <w:pPr>
        <w:spacing w:after="0"/>
      </w:pPr>
    </w:p>
    <w:p w14:paraId="58C6EFD1" w14:textId="77777777" w:rsidR="00C92247" w:rsidRPr="00314E43" w:rsidRDefault="00C92247" w:rsidP="00314E43">
      <w:pPr>
        <w:spacing w:after="0"/>
      </w:pPr>
      <w:r w:rsidRPr="00314E43">
        <w:t>I certify that this Annual Report complies with:</w:t>
      </w:r>
    </w:p>
    <w:p w14:paraId="62EB1936" w14:textId="77777777" w:rsidR="00C92247" w:rsidRPr="00314E43" w:rsidRDefault="00C92247" w:rsidP="00096C6C">
      <w:pPr>
        <w:pStyle w:val="Bullets"/>
      </w:pPr>
      <w:r w:rsidRPr="00314E43">
        <w:t xml:space="preserve">the prescribed requirements of the </w:t>
      </w:r>
      <w:r w:rsidRPr="00FC4067">
        <w:t>Financial Accountability Act 2009</w:t>
      </w:r>
      <w:r w:rsidRPr="00314E43">
        <w:t xml:space="preserve"> and the </w:t>
      </w:r>
      <w:r w:rsidRPr="00FC4067">
        <w:t>Financial and Performance Management Standard 2009</w:t>
      </w:r>
      <w:r w:rsidRPr="00314E43">
        <w:t>, and</w:t>
      </w:r>
    </w:p>
    <w:p w14:paraId="70332938" w14:textId="77777777" w:rsidR="00C92247" w:rsidRPr="00314E43" w:rsidRDefault="00C92247" w:rsidP="00096C6C">
      <w:pPr>
        <w:pStyle w:val="Bullets"/>
      </w:pPr>
      <w:r w:rsidRPr="00314E43">
        <w:t xml:space="preserve">the detailed requirements set out in the </w:t>
      </w:r>
      <w:r w:rsidRPr="00FC4067">
        <w:t>Annual report requirements for Queensland Government agencies</w:t>
      </w:r>
      <w:r w:rsidRPr="00314E43">
        <w:t>.</w:t>
      </w:r>
    </w:p>
    <w:p w14:paraId="75C14C2A" w14:textId="77777777" w:rsidR="00C92247" w:rsidRPr="00314E43" w:rsidRDefault="00C92247" w:rsidP="00314E43">
      <w:pPr>
        <w:spacing w:after="0"/>
      </w:pPr>
    </w:p>
    <w:p w14:paraId="1393ED28" w14:textId="55F48DE6" w:rsidR="00C92247" w:rsidRPr="00314E43" w:rsidRDefault="00C92247" w:rsidP="00314E43">
      <w:pPr>
        <w:spacing w:after="0"/>
      </w:pPr>
      <w:r w:rsidRPr="00314E43">
        <w:t xml:space="preserve">A checklist outlining the annual reporting requirements can be </w:t>
      </w:r>
      <w:r w:rsidR="00B323E1" w:rsidRPr="00314E43">
        <w:t xml:space="preserve">found at page </w:t>
      </w:r>
      <w:r w:rsidR="004D5487">
        <w:t>91</w:t>
      </w:r>
      <w:r w:rsidR="00B323E1" w:rsidRPr="00314E43">
        <w:t xml:space="preserve"> of this annual report.</w:t>
      </w:r>
      <w:bookmarkStart w:id="3" w:name="_GoBack"/>
      <w:bookmarkEnd w:id="3"/>
    </w:p>
    <w:p w14:paraId="22CBB616" w14:textId="77777777" w:rsidR="00C92247" w:rsidRPr="00314E43" w:rsidRDefault="00C92247" w:rsidP="00314E43">
      <w:pPr>
        <w:spacing w:after="0"/>
      </w:pPr>
    </w:p>
    <w:p w14:paraId="7C152A34" w14:textId="77777777" w:rsidR="00C92247" w:rsidRPr="00314E43" w:rsidRDefault="00C92247" w:rsidP="00314E43">
      <w:pPr>
        <w:spacing w:after="0"/>
      </w:pPr>
      <w:r w:rsidRPr="00314E43">
        <w:t>Yours sincerely</w:t>
      </w:r>
    </w:p>
    <w:p w14:paraId="68749981" w14:textId="77777777" w:rsidR="00C92247" w:rsidRPr="00314E43" w:rsidRDefault="00C92247" w:rsidP="00314E43">
      <w:pPr>
        <w:spacing w:after="0"/>
      </w:pPr>
    </w:p>
    <w:p w14:paraId="5C31D16A" w14:textId="77777777" w:rsidR="00C92247" w:rsidRPr="00314E43" w:rsidRDefault="00C92247" w:rsidP="00314E43">
      <w:pPr>
        <w:spacing w:after="0"/>
      </w:pPr>
    </w:p>
    <w:p w14:paraId="7E3BAA64" w14:textId="77777777" w:rsidR="00C92247" w:rsidRPr="00314E43" w:rsidRDefault="00C92247" w:rsidP="00314E43">
      <w:pPr>
        <w:spacing w:after="0"/>
      </w:pPr>
      <w:r w:rsidRPr="00314E43">
        <w:t>Liza Carroll</w:t>
      </w:r>
    </w:p>
    <w:p w14:paraId="5204CB31" w14:textId="77777777" w:rsidR="00C92247" w:rsidRPr="00314E43" w:rsidRDefault="00C92247" w:rsidP="00314E43">
      <w:pPr>
        <w:spacing w:after="0"/>
      </w:pPr>
      <w:r w:rsidRPr="00314E43">
        <w:t>Director-General</w:t>
      </w:r>
    </w:p>
    <w:p w14:paraId="356B113A" w14:textId="1CF40339" w:rsidR="00FA71B9" w:rsidRPr="00314E43" w:rsidRDefault="00C92247" w:rsidP="00314E43">
      <w:pPr>
        <w:spacing w:after="0"/>
      </w:pPr>
      <w:r w:rsidRPr="00314E43">
        <w:t>Department of Housing and Public Works</w:t>
      </w:r>
    </w:p>
    <w:p w14:paraId="4F50207F" w14:textId="77777777" w:rsidR="00FA71B9" w:rsidRPr="00EF4E38" w:rsidRDefault="00FA71B9" w:rsidP="00CF0A4C"/>
    <w:p w14:paraId="2695EE5F" w14:textId="77777777" w:rsidR="00FA71B9" w:rsidRPr="00FA71B9" w:rsidRDefault="00FA71B9" w:rsidP="00CF0A4C">
      <w:pPr>
        <w:sectPr w:rsidR="00FA71B9" w:rsidRPr="00FA71B9" w:rsidSect="00FA71B9">
          <w:pgSz w:w="11906" w:h="16838" w:code="9"/>
          <w:pgMar w:top="1440" w:right="1440" w:bottom="1440" w:left="1440" w:header="709" w:footer="709" w:gutter="0"/>
          <w:cols w:space="708"/>
          <w:docGrid w:linePitch="360"/>
        </w:sectPr>
      </w:pPr>
    </w:p>
    <w:p w14:paraId="459CB8D1" w14:textId="77777777" w:rsidR="006D1FAC" w:rsidRDefault="00B54B85" w:rsidP="005D3ADE">
      <w:pPr>
        <w:pStyle w:val="Heading1"/>
      </w:pPr>
      <w:bookmarkStart w:id="4" w:name="_Toc458777575"/>
      <w:bookmarkStart w:id="5" w:name="_Toc494984612"/>
      <w:r>
        <w:lastRenderedPageBreak/>
        <w:t>Communication Objective</w:t>
      </w:r>
      <w:bookmarkEnd w:id="4"/>
      <w:bookmarkEnd w:id="5"/>
    </w:p>
    <w:p w14:paraId="51D04B91" w14:textId="77777777" w:rsidR="00A2680D" w:rsidRDefault="00A2680D" w:rsidP="00CF0A4C">
      <w:pPr>
        <w:sectPr w:rsidR="00A2680D" w:rsidSect="00DD51E7">
          <w:headerReference w:type="default" r:id="rId11"/>
          <w:footerReference w:type="default" r:id="rId12"/>
          <w:pgSz w:w="11906" w:h="16838"/>
          <w:pgMar w:top="1440" w:right="1021" w:bottom="1440" w:left="1021" w:header="709" w:footer="709" w:gutter="0"/>
          <w:cols w:space="708"/>
          <w:docGrid w:linePitch="360"/>
        </w:sectPr>
      </w:pPr>
    </w:p>
    <w:p w14:paraId="0743F912" w14:textId="64CD57D5" w:rsidR="007524B1" w:rsidRPr="00355843" w:rsidRDefault="007524B1" w:rsidP="00CF0A4C">
      <w:r w:rsidRPr="00355843">
        <w:t>This Annual Report provides information about the Department of Housing and Public Works’ financial and non-financial performance for 201</w:t>
      </w:r>
      <w:r w:rsidR="007A165F" w:rsidRPr="00355843">
        <w:t>6–17</w:t>
      </w:r>
      <w:r w:rsidRPr="00355843">
        <w:t xml:space="preserve">. It has been prepared in accordance with the </w:t>
      </w:r>
      <w:r w:rsidRPr="254438D3">
        <w:rPr>
          <w:i/>
          <w:iCs/>
        </w:rPr>
        <w:t>Financial Accountability Act 2009</w:t>
      </w:r>
      <w:r w:rsidRPr="00355843">
        <w:t xml:space="preserve">, the </w:t>
      </w:r>
      <w:r w:rsidRPr="254438D3">
        <w:rPr>
          <w:i/>
          <w:iCs/>
        </w:rPr>
        <w:t xml:space="preserve">Financial and Performance Management Standard 2009 </w:t>
      </w:r>
      <w:r w:rsidRPr="00355843">
        <w:t xml:space="preserve">and the </w:t>
      </w:r>
      <w:r w:rsidRPr="254438D3">
        <w:rPr>
          <w:i/>
          <w:iCs/>
        </w:rPr>
        <w:t>Annual report requirements for Queensland Government agencies.</w:t>
      </w:r>
    </w:p>
    <w:p w14:paraId="55B6EAB6" w14:textId="78216B14" w:rsidR="007524B1" w:rsidRPr="00355843" w:rsidRDefault="007524B1" w:rsidP="00CF0A4C">
      <w:r w:rsidRPr="00355843">
        <w:t xml:space="preserve">The report records the significant achievements against the strategies detailed in the department’s </w:t>
      </w:r>
      <w:r w:rsidRPr="254438D3">
        <w:rPr>
          <w:i/>
          <w:iCs/>
        </w:rPr>
        <w:t xml:space="preserve">Strategic Plan </w:t>
      </w:r>
      <w:r w:rsidR="008A0D0C" w:rsidRPr="254438D3">
        <w:rPr>
          <w:i/>
          <w:iCs/>
        </w:rPr>
        <w:t>2016–20</w:t>
      </w:r>
      <w:r w:rsidRPr="254438D3">
        <w:rPr>
          <w:i/>
          <w:iCs/>
        </w:rPr>
        <w:t xml:space="preserve"> </w:t>
      </w:r>
      <w:r w:rsidRPr="00355843">
        <w:t xml:space="preserve">and the </w:t>
      </w:r>
      <w:r w:rsidR="00F33705" w:rsidRPr="00355843">
        <w:t>2016–17</w:t>
      </w:r>
      <w:r w:rsidRPr="00355843">
        <w:t xml:space="preserve"> Service Delivery Statements.</w:t>
      </w:r>
    </w:p>
    <w:p w14:paraId="65572F07" w14:textId="77777777" w:rsidR="007524B1" w:rsidRPr="00355843" w:rsidRDefault="007524B1" w:rsidP="00CF0A4C">
      <w:r w:rsidRPr="00355843">
        <w:t>This report has been prepared for the Minister to submit to Parliament. It has also been prepared to meet the needs of stakeholders including the Australian and local governments, industry and business associations, community groups, and staff.</w:t>
      </w:r>
    </w:p>
    <w:p w14:paraId="0518D53A" w14:textId="34AF738D" w:rsidR="007524B1" w:rsidRPr="00355843" w:rsidRDefault="007524B1" w:rsidP="00CF0A4C">
      <w:r w:rsidRPr="00355843">
        <w:t xml:space="preserve">The Queensland Government is committed to providing accessible services to Queenslanders from all culturally and linguistically diverse backgrounds. If you have </w:t>
      </w:r>
      <w:r w:rsidR="00A47BB3" w:rsidRPr="00355843">
        <w:t>difficulty</w:t>
      </w:r>
      <w:r w:rsidRPr="00355843">
        <w:t xml:space="preserve"> in understanding the Annual Report, you can contact us on</w:t>
      </w:r>
      <w:r w:rsidR="000D364A">
        <w:t xml:space="preserve"> </w:t>
      </w:r>
      <w:r w:rsidRPr="00355843">
        <w:t>13 QGOV (13 74 68) and we will arrange an interpreter to communicate the report to you.</w:t>
      </w:r>
    </w:p>
    <w:p w14:paraId="24B8C3D3" w14:textId="19441179" w:rsidR="007524B1" w:rsidRDefault="00455FE3" w:rsidP="00CF0A4C">
      <w:hyperlink r:id="rId13">
        <w:r w:rsidR="007524B1" w:rsidRPr="000D364A">
          <w:t>www.qld.gov.au/ languages</w:t>
        </w:r>
      </w:hyperlink>
    </w:p>
    <w:p w14:paraId="5D75A4C4" w14:textId="6A952100" w:rsidR="007524B1" w:rsidRPr="000B72AE" w:rsidRDefault="007524B1" w:rsidP="000B72AE">
      <w:pPr>
        <w:pStyle w:val="Heading3"/>
      </w:pPr>
      <w:r w:rsidRPr="000B72AE">
        <w:t xml:space="preserve">Online </w:t>
      </w:r>
      <w:r w:rsidR="00A73217" w:rsidRPr="000B72AE">
        <w:t>O</w:t>
      </w:r>
      <w:r w:rsidRPr="000B72AE">
        <w:t xml:space="preserve">pen </w:t>
      </w:r>
      <w:r w:rsidR="00A73217" w:rsidRPr="000B72AE">
        <w:t>D</w:t>
      </w:r>
      <w:r w:rsidRPr="000B72AE">
        <w:t xml:space="preserve">ata </w:t>
      </w:r>
      <w:r w:rsidR="00A73217" w:rsidRPr="000B72AE">
        <w:t>R</w:t>
      </w:r>
      <w:r w:rsidRPr="000B72AE">
        <w:t>eporting</w:t>
      </w:r>
    </w:p>
    <w:p w14:paraId="053ECF72" w14:textId="77777777" w:rsidR="007524B1" w:rsidRPr="0032596F" w:rsidRDefault="007524B1" w:rsidP="00CF0A4C">
      <w:r w:rsidRPr="00160072">
        <w:t xml:space="preserve">Content for the following annual reporting requirements can also be accessed on the department’s website at </w:t>
      </w:r>
      <w:r w:rsidRPr="0032596F">
        <w:rPr>
          <w:color w:val="215E9E"/>
          <w:u w:val="single" w:color="215E9E"/>
        </w:rPr>
        <w:t>http:</w:t>
      </w:r>
      <w:r w:rsidRPr="0032596F">
        <w:rPr>
          <w:color w:val="215E9E"/>
          <w:spacing w:val="-43"/>
          <w:u w:val="single" w:color="215E9E"/>
        </w:rPr>
        <w:t xml:space="preserve"> </w:t>
      </w:r>
      <w:r w:rsidRPr="0032596F">
        <w:rPr>
          <w:color w:val="215E9E"/>
          <w:spacing w:val="13"/>
          <w:u w:val="single" w:color="215E9E"/>
        </w:rPr>
        <w:t>//</w:t>
      </w:r>
      <w:r w:rsidRPr="0032596F">
        <w:rPr>
          <w:color w:val="215E9E"/>
          <w:spacing w:val="-44"/>
          <w:u w:val="single" w:color="215E9E"/>
        </w:rPr>
        <w:t xml:space="preserve"> </w:t>
      </w:r>
      <w:hyperlink r:id="rId14">
        <w:r w:rsidRPr="0032596F">
          <w:rPr>
            <w:color w:val="215E9E"/>
            <w:spacing w:val="-3"/>
            <w:u w:val="single" w:color="215E9E"/>
          </w:rPr>
          <w:t>www.</w:t>
        </w:r>
      </w:hyperlink>
      <w:r w:rsidRPr="0032596F">
        <w:rPr>
          <w:color w:val="215E9E"/>
          <w:w w:val="98"/>
        </w:rPr>
        <w:t xml:space="preserve"> </w:t>
      </w:r>
      <w:r w:rsidRPr="0032596F">
        <w:rPr>
          <w:color w:val="215E9E"/>
          <w:spacing w:val="-4"/>
          <w:u w:val="single" w:color="215E9E"/>
        </w:rPr>
        <w:t>hpw.qld.gov.au</w:t>
      </w:r>
      <w:r w:rsidRPr="0032596F">
        <w:rPr>
          <w:color w:val="215E9E"/>
          <w:spacing w:val="-39"/>
          <w:u w:val="single" w:color="215E9E"/>
        </w:rPr>
        <w:t xml:space="preserve"> </w:t>
      </w:r>
      <w:r w:rsidRPr="0032596F">
        <w:rPr>
          <w:color w:val="215E9E"/>
          <w:spacing w:val="-4"/>
          <w:u w:val="single" w:color="215E9E"/>
        </w:rPr>
        <w:t>and</w:t>
      </w:r>
      <w:r w:rsidRPr="0032596F">
        <w:rPr>
          <w:color w:val="215E9E"/>
          <w:spacing w:val="-37"/>
          <w:u w:val="single" w:color="215E9E"/>
        </w:rPr>
        <w:t xml:space="preserve"> </w:t>
      </w:r>
      <w:r w:rsidRPr="0032596F">
        <w:rPr>
          <w:color w:val="215E9E"/>
          <w:u w:val="single" w:color="215E9E"/>
        </w:rPr>
        <w:t>the</w:t>
      </w:r>
      <w:r w:rsidRPr="0032596F">
        <w:rPr>
          <w:color w:val="215E9E"/>
          <w:spacing w:val="-39"/>
          <w:u w:val="single" w:color="215E9E"/>
        </w:rPr>
        <w:t xml:space="preserve"> </w:t>
      </w:r>
      <w:r w:rsidRPr="0032596F">
        <w:rPr>
          <w:color w:val="215E9E"/>
          <w:spacing w:val="-4"/>
          <w:u w:val="single" w:color="215E9E"/>
        </w:rPr>
        <w:t>Queensland</w:t>
      </w:r>
      <w:r w:rsidRPr="0032596F">
        <w:rPr>
          <w:color w:val="215E9E"/>
          <w:spacing w:val="-38"/>
          <w:u w:val="single" w:color="215E9E"/>
        </w:rPr>
        <w:t xml:space="preserve"> </w:t>
      </w:r>
      <w:r w:rsidRPr="0032596F">
        <w:rPr>
          <w:color w:val="215E9E"/>
          <w:spacing w:val="-4"/>
          <w:u w:val="single" w:color="215E9E"/>
        </w:rPr>
        <w:t>Government</w:t>
      </w:r>
      <w:r w:rsidRPr="0032596F">
        <w:rPr>
          <w:color w:val="215E9E"/>
          <w:spacing w:val="-39"/>
          <w:u w:val="single" w:color="215E9E"/>
        </w:rPr>
        <w:t xml:space="preserve"> </w:t>
      </w:r>
      <w:r w:rsidRPr="0032596F">
        <w:rPr>
          <w:color w:val="215E9E"/>
          <w:u w:val="single" w:color="215E9E"/>
        </w:rPr>
        <w:t>data</w:t>
      </w:r>
      <w:r w:rsidRPr="0032596F">
        <w:rPr>
          <w:color w:val="215E9E"/>
          <w:spacing w:val="-39"/>
          <w:u w:val="single" w:color="215E9E"/>
        </w:rPr>
        <w:t xml:space="preserve"> </w:t>
      </w:r>
      <w:r w:rsidRPr="0032596F">
        <w:rPr>
          <w:color w:val="215E9E"/>
          <w:u w:val="single" w:color="215E9E"/>
        </w:rPr>
        <w:t>website</w:t>
      </w:r>
      <w:r w:rsidRPr="0032596F">
        <w:rPr>
          <w:color w:val="215E9E"/>
          <w:w w:val="91"/>
        </w:rPr>
        <w:t xml:space="preserve"> </w:t>
      </w:r>
      <w:r w:rsidRPr="0032596F">
        <w:rPr>
          <w:color w:val="215E9E"/>
          <w:u w:val="single" w:color="215E9E"/>
        </w:rPr>
        <w:t>at</w:t>
      </w:r>
      <w:r w:rsidRPr="0032596F">
        <w:rPr>
          <w:color w:val="215E9E"/>
          <w:spacing w:val="-33"/>
          <w:u w:val="single" w:color="215E9E"/>
        </w:rPr>
        <w:t xml:space="preserve"> </w:t>
      </w:r>
      <w:r w:rsidRPr="0032596F">
        <w:rPr>
          <w:color w:val="215E9E"/>
          <w:u w:val="single" w:color="215E9E"/>
        </w:rPr>
        <w:t>https:</w:t>
      </w:r>
      <w:r w:rsidRPr="0032596F">
        <w:rPr>
          <w:color w:val="215E9E"/>
          <w:spacing w:val="-44"/>
          <w:u w:val="single" w:color="215E9E"/>
        </w:rPr>
        <w:t xml:space="preserve"> </w:t>
      </w:r>
      <w:r w:rsidRPr="0032596F">
        <w:rPr>
          <w:color w:val="215E9E"/>
          <w:spacing w:val="13"/>
          <w:u w:val="single" w:color="215E9E"/>
        </w:rPr>
        <w:t>//</w:t>
      </w:r>
      <w:r w:rsidRPr="0032596F">
        <w:rPr>
          <w:color w:val="215E9E"/>
          <w:spacing w:val="-45"/>
          <w:u w:val="single" w:color="215E9E"/>
        </w:rPr>
        <w:t xml:space="preserve"> </w:t>
      </w:r>
      <w:r w:rsidRPr="0032596F">
        <w:rPr>
          <w:color w:val="215E9E"/>
          <w:spacing w:val="-3"/>
          <w:u w:val="single" w:color="215E9E"/>
        </w:rPr>
        <w:t>data.qld.gov.au</w:t>
      </w:r>
      <w:r w:rsidRPr="0032596F">
        <w:rPr>
          <w:color w:val="215E9E"/>
          <w:spacing w:val="-45"/>
          <w:u w:val="single" w:color="215E9E"/>
        </w:rPr>
        <w:t xml:space="preserve"> </w:t>
      </w:r>
      <w:r w:rsidRPr="0032596F">
        <w:rPr>
          <w:color w:val="215E9E"/>
          <w:u w:val="single" w:color="215E9E"/>
        </w:rPr>
        <w:t>/</w:t>
      </w:r>
    </w:p>
    <w:p w14:paraId="55A8EC87" w14:textId="77777777" w:rsidR="007524B1" w:rsidRPr="00BB76E7" w:rsidRDefault="007524B1" w:rsidP="00096C6C">
      <w:pPr>
        <w:pStyle w:val="Bullets"/>
      </w:pPr>
      <w:r w:rsidRPr="00BB76E7">
        <w:t>consultancies</w:t>
      </w:r>
    </w:p>
    <w:p w14:paraId="4C86E603" w14:textId="77777777" w:rsidR="007524B1" w:rsidRPr="00BB76E7" w:rsidRDefault="007524B1" w:rsidP="00096C6C">
      <w:pPr>
        <w:pStyle w:val="Bullets"/>
      </w:pPr>
      <w:r w:rsidRPr="00BB76E7">
        <w:t>overseas travel</w:t>
      </w:r>
    </w:p>
    <w:p w14:paraId="6E32DB4D" w14:textId="77777777" w:rsidR="007524B1" w:rsidRPr="000D6599" w:rsidRDefault="007524B1" w:rsidP="00096C6C">
      <w:pPr>
        <w:pStyle w:val="Bullets"/>
        <w:rPr>
          <w:rFonts w:eastAsia="Arial" w:cs="Arial"/>
        </w:rPr>
      </w:pPr>
      <w:r w:rsidRPr="00BB76E7">
        <w:t>Queensland Languages Services Policy</w:t>
      </w:r>
      <w:r w:rsidRPr="690957E2">
        <w:t>.</w:t>
      </w:r>
    </w:p>
    <w:p w14:paraId="30140D7D" w14:textId="312E7723" w:rsidR="007524B1" w:rsidRPr="00A02DA5" w:rsidRDefault="007524B1" w:rsidP="00792F33">
      <w:pPr>
        <w:pStyle w:val="Heading3"/>
      </w:pPr>
      <w:r w:rsidRPr="00A02DA5">
        <w:t xml:space="preserve">Department of Housing and Public Works Annual Report </w:t>
      </w:r>
      <w:r w:rsidR="00F33705" w:rsidRPr="00A02DA5">
        <w:t>2016–17</w:t>
      </w:r>
    </w:p>
    <w:p w14:paraId="0C563946" w14:textId="761FEB84" w:rsidR="007524B1" w:rsidRPr="002061DD" w:rsidRDefault="007524B1" w:rsidP="00CF0A4C">
      <w:r w:rsidRPr="002061DD">
        <w:t>© The State of Queensland (Department of Housing and Public Works) 201</w:t>
      </w:r>
      <w:r w:rsidR="00F52AC4">
        <w:t>7</w:t>
      </w:r>
      <w:r w:rsidRPr="002061DD">
        <w:t>.</w:t>
      </w:r>
    </w:p>
    <w:p w14:paraId="62DFE322" w14:textId="324F28A3" w:rsidR="007524B1" w:rsidRPr="002061DD" w:rsidRDefault="007524B1" w:rsidP="00CF0A4C">
      <w:r w:rsidRPr="002061DD">
        <w:t>Published by the Queensland Government, September 201</w:t>
      </w:r>
      <w:r w:rsidR="00D2609D">
        <w:t>7</w:t>
      </w:r>
      <w:r w:rsidRPr="002061DD">
        <w:t xml:space="preserve">, </w:t>
      </w:r>
      <w:r w:rsidR="005B7752" w:rsidRPr="00E705CE">
        <w:t>1 William</w:t>
      </w:r>
      <w:r w:rsidRPr="00E705CE">
        <w:t xml:space="preserve"> Street,</w:t>
      </w:r>
      <w:r w:rsidRPr="002061DD">
        <w:t xml:space="preserve"> Brisbane </w:t>
      </w:r>
      <w:r w:rsidR="008A0D0C" w:rsidRPr="002061DD">
        <w:t>QLD</w:t>
      </w:r>
      <w:r w:rsidRPr="002061DD">
        <w:t xml:space="preserve"> 4000.</w:t>
      </w:r>
    </w:p>
    <w:p w14:paraId="64470A13" w14:textId="3078194F" w:rsidR="007524B1" w:rsidRPr="005E0AF4" w:rsidRDefault="007524B1" w:rsidP="00792F33">
      <w:pPr>
        <w:pStyle w:val="Heading3"/>
      </w:pPr>
      <w:r w:rsidRPr="005E0AF4">
        <w:t>Licence</w:t>
      </w:r>
      <w:r w:rsidR="000B72AE">
        <w:t xml:space="preserve"> </w:t>
      </w:r>
      <w:r w:rsidR="00A02DA5" w:rsidRPr="005E0AF4">
        <w:rPr>
          <w:noProof/>
        </w:rPr>
        <w:drawing>
          <wp:inline distT="0" distB="0" distL="0" distR="0" wp14:anchorId="06BAFBEC" wp14:editId="0E5BC6D6">
            <wp:extent cx="937058" cy="325754"/>
            <wp:effectExtent l="0" t="0" r="0" b="0"/>
            <wp:docPr id="3" name="image8.png" descr="Creative Commons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5" cstate="print"/>
                    <a:stretch>
                      <a:fillRect/>
                    </a:stretch>
                  </pic:blipFill>
                  <pic:spPr>
                    <a:xfrm>
                      <a:off x="0" y="0"/>
                      <a:ext cx="937058" cy="325754"/>
                    </a:xfrm>
                    <a:prstGeom prst="rect">
                      <a:avLst/>
                    </a:prstGeom>
                  </pic:spPr>
                </pic:pic>
              </a:graphicData>
            </a:graphic>
          </wp:inline>
        </w:drawing>
      </w:r>
    </w:p>
    <w:p w14:paraId="08628140" w14:textId="77777777" w:rsidR="007524B1" w:rsidRPr="002061DD" w:rsidRDefault="007524B1" w:rsidP="00CF0A4C">
      <w:r w:rsidRPr="002061DD">
        <w:t>This annual report is licensed by the State of Queensland (Department of Housing and Public Works) under a Creative Commons Attribution (CC BY) 4.0 International licence.</w:t>
      </w:r>
    </w:p>
    <w:p w14:paraId="50FCA348" w14:textId="77777777" w:rsidR="007524B1" w:rsidRPr="005E0AF4" w:rsidRDefault="007524B1" w:rsidP="00792F33">
      <w:pPr>
        <w:pStyle w:val="Heading3"/>
      </w:pPr>
      <w:r w:rsidRPr="005E0AF4">
        <w:t>CC By Licence Summary Statement:</w:t>
      </w:r>
    </w:p>
    <w:p w14:paraId="0710E4D1" w14:textId="4451719E" w:rsidR="007524B1" w:rsidRPr="002061DD" w:rsidRDefault="007524B1" w:rsidP="00CF0A4C">
      <w:r w:rsidRPr="002061DD">
        <w:t xml:space="preserve">In essence, you are free to copy, communicate and adapt this </w:t>
      </w:r>
      <w:r w:rsidR="00BC3830">
        <w:t>A</w:t>
      </w:r>
      <w:r w:rsidRPr="002061DD">
        <w:t xml:space="preserve">nnual </w:t>
      </w:r>
      <w:r w:rsidR="00BC3830">
        <w:t>R</w:t>
      </w:r>
      <w:r w:rsidRPr="002061DD">
        <w:t>eport, as long as you attribute the work to the State of Queensland (Department of Housing and Public Works). To view a copy of this licence, visit:</w:t>
      </w:r>
    </w:p>
    <w:p w14:paraId="2E26C95E" w14:textId="101D1BB1" w:rsidR="007524B1" w:rsidRPr="002061DD" w:rsidRDefault="00455FE3" w:rsidP="00CF0A4C">
      <w:pPr>
        <w:pStyle w:val="Hyperlinks"/>
      </w:pPr>
      <w:hyperlink r:id="rId16" w:history="1">
        <w:r w:rsidR="002061DD" w:rsidRPr="000E5801">
          <w:rPr>
            <w:rStyle w:val="Hyperlink"/>
          </w:rPr>
          <w:t>http://creativecommons.org/licenses/by/4.0/</w:t>
        </w:r>
      </w:hyperlink>
      <w:r w:rsidR="002061DD">
        <w:t xml:space="preserve"> </w:t>
      </w:r>
    </w:p>
    <w:p w14:paraId="48D2C525" w14:textId="77777777" w:rsidR="007524B1" w:rsidRPr="005E0AF4" w:rsidRDefault="007524B1" w:rsidP="00792F33">
      <w:pPr>
        <w:pStyle w:val="Heading3"/>
      </w:pPr>
      <w:r>
        <w:t>Attribution:</w:t>
      </w:r>
    </w:p>
    <w:p w14:paraId="58E1E738" w14:textId="6943F9B9" w:rsidR="007524B1" w:rsidRDefault="007524B1" w:rsidP="00CF0A4C">
      <w:r>
        <w:rPr>
          <w:spacing w:val="-3"/>
        </w:rPr>
        <w:t>Content</w:t>
      </w:r>
      <w:r w:rsidRPr="009E37D7">
        <w:t xml:space="preserve"> </w:t>
      </w:r>
      <w:r>
        <w:t>from</w:t>
      </w:r>
      <w:r w:rsidRPr="009E37D7">
        <w:t xml:space="preserve"> </w:t>
      </w:r>
      <w:r>
        <w:t>this</w:t>
      </w:r>
      <w:r w:rsidRPr="009E37D7">
        <w:t xml:space="preserve"> </w:t>
      </w:r>
      <w:r w:rsidR="00BC3830">
        <w:rPr>
          <w:spacing w:val="-3"/>
        </w:rPr>
        <w:t>A</w:t>
      </w:r>
      <w:r>
        <w:rPr>
          <w:spacing w:val="-3"/>
        </w:rPr>
        <w:t>nnual</w:t>
      </w:r>
      <w:r w:rsidRPr="009E37D7">
        <w:t xml:space="preserve"> </w:t>
      </w:r>
      <w:r w:rsidR="00BC3830">
        <w:rPr>
          <w:spacing w:val="-2"/>
        </w:rPr>
        <w:t>R</w:t>
      </w:r>
      <w:r>
        <w:rPr>
          <w:spacing w:val="-2"/>
        </w:rPr>
        <w:t>eport</w:t>
      </w:r>
      <w:r w:rsidRPr="009E37D7">
        <w:t xml:space="preserve"> </w:t>
      </w:r>
      <w:r>
        <w:t>should</w:t>
      </w:r>
      <w:r w:rsidRPr="009E37D7">
        <w:t xml:space="preserve"> </w:t>
      </w:r>
      <w:r>
        <w:t>be</w:t>
      </w:r>
      <w:r w:rsidRPr="009E37D7">
        <w:t xml:space="preserve"> </w:t>
      </w:r>
      <w:r>
        <w:t>attributed</w:t>
      </w:r>
      <w:r w:rsidRPr="009E37D7">
        <w:t xml:space="preserve"> </w:t>
      </w:r>
      <w:r>
        <w:rPr>
          <w:spacing w:val="-3"/>
        </w:rPr>
        <w:t>as:</w:t>
      </w:r>
    </w:p>
    <w:p w14:paraId="6D7033D2" w14:textId="025472EB" w:rsidR="007524B1" w:rsidRPr="008171F8" w:rsidRDefault="007524B1" w:rsidP="00CF0A4C">
      <w:r w:rsidRPr="008171F8">
        <w:t xml:space="preserve">The State of Queensland (Department of Housing and Public Works) Annual Report </w:t>
      </w:r>
      <w:r w:rsidR="00F33705" w:rsidRPr="008171F8">
        <w:t>2016–17</w:t>
      </w:r>
      <w:r w:rsidRPr="008171F8">
        <w:t>.</w:t>
      </w:r>
    </w:p>
    <w:p w14:paraId="0480EF63" w14:textId="77777777" w:rsidR="007524B1" w:rsidRPr="008171F8" w:rsidRDefault="007524B1" w:rsidP="00CF0A4C">
      <w:r w:rsidRPr="008171F8">
        <w:lastRenderedPageBreak/>
        <w:t>Further copies of this report are available at</w:t>
      </w:r>
    </w:p>
    <w:p w14:paraId="616C5240" w14:textId="6AF3CA6A" w:rsidR="007524B1" w:rsidRPr="008171F8" w:rsidRDefault="007524B1" w:rsidP="00CF0A4C">
      <w:pPr>
        <w:pStyle w:val="Hyperlinks"/>
      </w:pPr>
      <w:r w:rsidRPr="008171F8">
        <w:t>http://</w:t>
      </w:r>
      <w:hyperlink r:id="rId17">
        <w:r w:rsidRPr="008171F8">
          <w:rPr>
            <w:rStyle w:val="Hyperlink"/>
          </w:rPr>
          <w:t>www.hpw.qld.gov.au</w:t>
        </w:r>
      </w:hyperlink>
      <w:r w:rsidRPr="008171F8">
        <w:t>/aboutus/ReportsPublications/AnnualReports/Pages/default.aspx</w:t>
      </w:r>
    </w:p>
    <w:p w14:paraId="139C3E50" w14:textId="77777777" w:rsidR="007524B1" w:rsidRPr="008171F8" w:rsidRDefault="007524B1" w:rsidP="00CF0A4C">
      <w:r w:rsidRPr="008171F8">
        <w:t>or by contacting Governance, Planning and Performance, Department of Housing and Public Works on 13 QGOV (13 74 68).</w:t>
      </w:r>
    </w:p>
    <w:p w14:paraId="6C0F4D77" w14:textId="6FD00EA3" w:rsidR="007524B1" w:rsidRPr="008171F8" w:rsidRDefault="007524B1" w:rsidP="00CF0A4C">
      <w:r w:rsidRPr="008171F8">
        <w:t xml:space="preserve">If you have trouble viewing or printing this document, contact us and we will supply it in an alternative format, such as hardcopy or </w:t>
      </w:r>
      <w:r w:rsidR="00BC3830">
        <w:t>USB</w:t>
      </w:r>
      <w:r w:rsidRPr="008171F8">
        <w:t>.</w:t>
      </w:r>
    </w:p>
    <w:p w14:paraId="5485BA3B" w14:textId="77777777" w:rsidR="000D364A" w:rsidRDefault="007524B1" w:rsidP="00CF0A4C">
      <w:r w:rsidRPr="008171F8">
        <w:t xml:space="preserve">Email: </w:t>
      </w:r>
      <w:hyperlink r:id="rId18">
        <w:r w:rsidRPr="008171F8">
          <w:rPr>
            <w:rStyle w:val="Hyperlink"/>
          </w:rPr>
          <w:t>COR.GPP@hpw.qld.gov.au</w:t>
        </w:r>
      </w:hyperlink>
      <w:r w:rsidRPr="0CF27971">
        <w:t xml:space="preserve"> </w:t>
      </w:r>
    </w:p>
    <w:p w14:paraId="00DB4127" w14:textId="1BCE7AA7" w:rsidR="00682C04" w:rsidRPr="008171F8" w:rsidRDefault="007524B1" w:rsidP="00CF0A4C">
      <w:r w:rsidRPr="00E705CE">
        <w:t xml:space="preserve">ISSN </w:t>
      </w:r>
      <w:r w:rsidR="00BC3830">
        <w:t>2201-1401</w:t>
      </w:r>
    </w:p>
    <w:p w14:paraId="35DBD700" w14:textId="77777777" w:rsidR="00061ECE" w:rsidRDefault="00061ECE" w:rsidP="00CF0A4C">
      <w:pPr>
        <w:sectPr w:rsidR="00061ECE" w:rsidSect="00A2680D">
          <w:type w:val="continuous"/>
          <w:pgSz w:w="11906" w:h="16838"/>
          <w:pgMar w:top="1440" w:right="1021" w:bottom="1440" w:left="1021" w:header="709" w:footer="709" w:gutter="0"/>
          <w:cols w:space="708"/>
          <w:docGrid w:linePitch="360"/>
        </w:sectPr>
      </w:pPr>
    </w:p>
    <w:p w14:paraId="27ABA692" w14:textId="65714978" w:rsidR="003561D9" w:rsidRPr="007C4D5D" w:rsidRDefault="00C96558" w:rsidP="002F0A6A">
      <w:pPr>
        <w:pStyle w:val="Heading1"/>
      </w:pPr>
      <w:bookmarkStart w:id="6" w:name="_Toc458777576"/>
      <w:bookmarkStart w:id="7" w:name="_Toc494984613"/>
      <w:r w:rsidRPr="007C4D5D">
        <w:lastRenderedPageBreak/>
        <w:t>Table of Contents</w:t>
      </w:r>
      <w:bookmarkEnd w:id="6"/>
      <w:bookmarkEnd w:id="7"/>
    </w:p>
    <w:bookmarkStart w:id="8" w:name="_Toc458777577" w:displacedByCustomXml="next"/>
    <w:sdt>
      <w:sdtPr>
        <w:rPr>
          <w:rFonts w:ascii="Arial" w:eastAsiaTheme="minorHAnsi" w:hAnsi="Arial" w:cstheme="minorBidi"/>
          <w:smallCaps w:val="0"/>
          <w:color w:val="auto"/>
          <w:spacing w:val="0"/>
          <w:kern w:val="0"/>
          <w:sz w:val="22"/>
          <w:szCs w:val="22"/>
          <w:lang w:val="en-AU"/>
        </w:rPr>
        <w:id w:val="1542166284"/>
        <w:docPartObj>
          <w:docPartGallery w:val="Table of Contents"/>
          <w:docPartUnique/>
        </w:docPartObj>
      </w:sdtPr>
      <w:sdtEndPr>
        <w:rPr>
          <w:b/>
          <w:bCs/>
          <w:noProof/>
        </w:rPr>
      </w:sdtEndPr>
      <w:sdtContent>
        <w:p w14:paraId="2CA2592B" w14:textId="72724E59" w:rsidR="002F0A6A" w:rsidRPr="002F0A6A" w:rsidRDefault="002F0A6A">
          <w:pPr>
            <w:pStyle w:val="TOCHeading"/>
            <w:rPr>
              <w:color w:val="000000" w:themeColor="text1"/>
            </w:rPr>
          </w:pPr>
        </w:p>
        <w:p w14:paraId="1FC0CFFB" w14:textId="782A9FF2" w:rsidR="002F0A6A" w:rsidRDefault="002F0A6A">
          <w:pPr>
            <w:pStyle w:val="TOC1"/>
            <w:rPr>
              <w:rFonts w:asciiTheme="minorHAnsi" w:eastAsiaTheme="minorEastAsia" w:hAnsiTheme="minorHAnsi"/>
              <w:noProof/>
              <w:lang w:eastAsia="en-AU"/>
            </w:rPr>
          </w:pPr>
          <w:r>
            <w:fldChar w:fldCharType="begin"/>
          </w:r>
          <w:r>
            <w:instrText xml:space="preserve"> TOC \o "1-2" \h \z \u </w:instrText>
          </w:r>
          <w:r>
            <w:fldChar w:fldCharType="separate"/>
          </w:r>
          <w:hyperlink r:id="rId19" w:anchor="_Toc494984610" w:history="1">
            <w:r w:rsidRPr="000F5DD6">
              <w:rPr>
                <w:rStyle w:val="Hyperlink"/>
                <w:noProof/>
              </w:rPr>
              <w:t>Department of Housing and Public Works</w:t>
            </w:r>
            <w:r>
              <w:rPr>
                <w:noProof/>
                <w:webHidden/>
              </w:rPr>
              <w:tab/>
            </w:r>
            <w:r>
              <w:rPr>
                <w:noProof/>
                <w:webHidden/>
              </w:rPr>
              <w:fldChar w:fldCharType="begin"/>
            </w:r>
            <w:r>
              <w:rPr>
                <w:noProof/>
                <w:webHidden/>
              </w:rPr>
              <w:instrText xml:space="preserve"> PAGEREF _Toc494984610 \h </w:instrText>
            </w:r>
            <w:r>
              <w:rPr>
                <w:noProof/>
                <w:webHidden/>
              </w:rPr>
            </w:r>
            <w:r>
              <w:rPr>
                <w:noProof/>
                <w:webHidden/>
              </w:rPr>
              <w:fldChar w:fldCharType="separate"/>
            </w:r>
            <w:r>
              <w:rPr>
                <w:noProof/>
                <w:webHidden/>
              </w:rPr>
              <w:t>1</w:t>
            </w:r>
            <w:r>
              <w:rPr>
                <w:noProof/>
                <w:webHidden/>
              </w:rPr>
              <w:fldChar w:fldCharType="end"/>
            </w:r>
          </w:hyperlink>
        </w:p>
        <w:p w14:paraId="42F78EC0" w14:textId="340BE9FC" w:rsidR="002F0A6A" w:rsidRDefault="00455FE3">
          <w:pPr>
            <w:pStyle w:val="TOC1"/>
            <w:rPr>
              <w:rFonts w:asciiTheme="minorHAnsi" w:eastAsiaTheme="minorEastAsia" w:hAnsiTheme="minorHAnsi"/>
              <w:noProof/>
              <w:lang w:eastAsia="en-AU"/>
            </w:rPr>
          </w:pPr>
          <w:hyperlink w:anchor="_Toc494984611" w:history="1">
            <w:r w:rsidR="002F0A6A" w:rsidRPr="000F5DD6">
              <w:rPr>
                <w:rStyle w:val="Hyperlink"/>
                <w:noProof/>
              </w:rPr>
              <w:t>Letter of compliance</w:t>
            </w:r>
            <w:r w:rsidR="002F0A6A">
              <w:rPr>
                <w:noProof/>
                <w:webHidden/>
              </w:rPr>
              <w:tab/>
            </w:r>
            <w:r w:rsidR="002F0A6A">
              <w:rPr>
                <w:noProof/>
                <w:webHidden/>
              </w:rPr>
              <w:fldChar w:fldCharType="begin"/>
            </w:r>
            <w:r w:rsidR="002F0A6A">
              <w:rPr>
                <w:noProof/>
                <w:webHidden/>
              </w:rPr>
              <w:instrText xml:space="preserve"> PAGEREF _Toc494984611 \h </w:instrText>
            </w:r>
            <w:r w:rsidR="002F0A6A">
              <w:rPr>
                <w:noProof/>
                <w:webHidden/>
              </w:rPr>
            </w:r>
            <w:r w:rsidR="002F0A6A">
              <w:rPr>
                <w:noProof/>
                <w:webHidden/>
              </w:rPr>
              <w:fldChar w:fldCharType="separate"/>
            </w:r>
            <w:r w:rsidR="002F0A6A">
              <w:rPr>
                <w:noProof/>
                <w:webHidden/>
              </w:rPr>
              <w:t>2</w:t>
            </w:r>
            <w:r w:rsidR="002F0A6A">
              <w:rPr>
                <w:noProof/>
                <w:webHidden/>
              </w:rPr>
              <w:fldChar w:fldCharType="end"/>
            </w:r>
          </w:hyperlink>
        </w:p>
        <w:p w14:paraId="2E2C28ED" w14:textId="55A66B18" w:rsidR="002F0A6A" w:rsidRDefault="00455FE3">
          <w:pPr>
            <w:pStyle w:val="TOC1"/>
            <w:rPr>
              <w:rFonts w:asciiTheme="minorHAnsi" w:eastAsiaTheme="minorEastAsia" w:hAnsiTheme="minorHAnsi"/>
              <w:noProof/>
              <w:lang w:eastAsia="en-AU"/>
            </w:rPr>
          </w:pPr>
          <w:hyperlink w:anchor="_Toc494984612" w:history="1">
            <w:r w:rsidR="002F0A6A" w:rsidRPr="000F5DD6">
              <w:rPr>
                <w:rStyle w:val="Hyperlink"/>
                <w:noProof/>
              </w:rPr>
              <w:t>Communication Objective</w:t>
            </w:r>
            <w:r w:rsidR="002F0A6A">
              <w:rPr>
                <w:noProof/>
                <w:webHidden/>
              </w:rPr>
              <w:tab/>
            </w:r>
            <w:r w:rsidR="002F0A6A">
              <w:rPr>
                <w:noProof/>
                <w:webHidden/>
              </w:rPr>
              <w:fldChar w:fldCharType="begin"/>
            </w:r>
            <w:r w:rsidR="002F0A6A">
              <w:rPr>
                <w:noProof/>
                <w:webHidden/>
              </w:rPr>
              <w:instrText xml:space="preserve"> PAGEREF _Toc494984612 \h </w:instrText>
            </w:r>
            <w:r w:rsidR="002F0A6A">
              <w:rPr>
                <w:noProof/>
                <w:webHidden/>
              </w:rPr>
            </w:r>
            <w:r w:rsidR="002F0A6A">
              <w:rPr>
                <w:noProof/>
                <w:webHidden/>
              </w:rPr>
              <w:fldChar w:fldCharType="separate"/>
            </w:r>
            <w:r w:rsidR="002F0A6A">
              <w:rPr>
                <w:noProof/>
                <w:webHidden/>
              </w:rPr>
              <w:t>3</w:t>
            </w:r>
            <w:r w:rsidR="002F0A6A">
              <w:rPr>
                <w:noProof/>
                <w:webHidden/>
              </w:rPr>
              <w:fldChar w:fldCharType="end"/>
            </w:r>
          </w:hyperlink>
        </w:p>
        <w:p w14:paraId="6F2AE961" w14:textId="70764A3C" w:rsidR="002F0A6A" w:rsidRDefault="00455FE3">
          <w:pPr>
            <w:pStyle w:val="TOC1"/>
            <w:rPr>
              <w:rFonts w:asciiTheme="minorHAnsi" w:eastAsiaTheme="minorEastAsia" w:hAnsiTheme="minorHAnsi"/>
              <w:noProof/>
              <w:lang w:eastAsia="en-AU"/>
            </w:rPr>
          </w:pPr>
          <w:hyperlink w:anchor="_Toc494984613" w:history="1">
            <w:r w:rsidR="002F0A6A" w:rsidRPr="000F5DD6">
              <w:rPr>
                <w:rStyle w:val="Hyperlink"/>
                <w:noProof/>
              </w:rPr>
              <w:t>Table of Contents</w:t>
            </w:r>
            <w:r w:rsidR="002F0A6A">
              <w:rPr>
                <w:noProof/>
                <w:webHidden/>
              </w:rPr>
              <w:tab/>
            </w:r>
            <w:r w:rsidR="002F0A6A">
              <w:rPr>
                <w:noProof/>
                <w:webHidden/>
              </w:rPr>
              <w:fldChar w:fldCharType="begin"/>
            </w:r>
            <w:r w:rsidR="002F0A6A">
              <w:rPr>
                <w:noProof/>
                <w:webHidden/>
              </w:rPr>
              <w:instrText xml:space="preserve"> PAGEREF _Toc494984613 \h </w:instrText>
            </w:r>
            <w:r w:rsidR="002F0A6A">
              <w:rPr>
                <w:noProof/>
                <w:webHidden/>
              </w:rPr>
            </w:r>
            <w:r w:rsidR="002F0A6A">
              <w:rPr>
                <w:noProof/>
                <w:webHidden/>
              </w:rPr>
              <w:fldChar w:fldCharType="separate"/>
            </w:r>
            <w:r w:rsidR="002F0A6A">
              <w:rPr>
                <w:noProof/>
                <w:webHidden/>
              </w:rPr>
              <w:t>5</w:t>
            </w:r>
            <w:r w:rsidR="002F0A6A">
              <w:rPr>
                <w:noProof/>
                <w:webHidden/>
              </w:rPr>
              <w:fldChar w:fldCharType="end"/>
            </w:r>
          </w:hyperlink>
        </w:p>
        <w:p w14:paraId="5C4833E9" w14:textId="7D759945" w:rsidR="002F0A6A" w:rsidRDefault="00455FE3">
          <w:pPr>
            <w:pStyle w:val="TOC1"/>
            <w:rPr>
              <w:rFonts w:asciiTheme="minorHAnsi" w:eastAsiaTheme="minorEastAsia" w:hAnsiTheme="minorHAnsi"/>
              <w:noProof/>
              <w:lang w:eastAsia="en-AU"/>
            </w:rPr>
          </w:pPr>
          <w:hyperlink w:anchor="_Toc494984614" w:history="1">
            <w:r w:rsidR="002F0A6A" w:rsidRPr="000F5DD6">
              <w:rPr>
                <w:rStyle w:val="Hyperlink"/>
                <w:noProof/>
              </w:rPr>
              <w:t>Message from the Director-General</w:t>
            </w:r>
            <w:r w:rsidR="002F0A6A">
              <w:rPr>
                <w:noProof/>
                <w:webHidden/>
              </w:rPr>
              <w:tab/>
            </w:r>
            <w:r w:rsidR="002F0A6A">
              <w:rPr>
                <w:noProof/>
                <w:webHidden/>
              </w:rPr>
              <w:fldChar w:fldCharType="begin"/>
            </w:r>
            <w:r w:rsidR="002F0A6A">
              <w:rPr>
                <w:noProof/>
                <w:webHidden/>
              </w:rPr>
              <w:instrText xml:space="preserve"> PAGEREF _Toc494984614 \h </w:instrText>
            </w:r>
            <w:r w:rsidR="002F0A6A">
              <w:rPr>
                <w:noProof/>
                <w:webHidden/>
              </w:rPr>
            </w:r>
            <w:r w:rsidR="002F0A6A">
              <w:rPr>
                <w:noProof/>
                <w:webHidden/>
              </w:rPr>
              <w:fldChar w:fldCharType="separate"/>
            </w:r>
            <w:r w:rsidR="002F0A6A">
              <w:rPr>
                <w:noProof/>
                <w:webHidden/>
              </w:rPr>
              <w:t>7</w:t>
            </w:r>
            <w:r w:rsidR="002F0A6A">
              <w:rPr>
                <w:noProof/>
                <w:webHidden/>
              </w:rPr>
              <w:fldChar w:fldCharType="end"/>
            </w:r>
          </w:hyperlink>
        </w:p>
        <w:p w14:paraId="58FC4D48" w14:textId="6DCB8A4B" w:rsidR="002F0A6A" w:rsidRDefault="00455FE3">
          <w:pPr>
            <w:pStyle w:val="TOC1"/>
            <w:rPr>
              <w:rFonts w:asciiTheme="minorHAnsi" w:eastAsiaTheme="minorEastAsia" w:hAnsiTheme="minorHAnsi"/>
              <w:noProof/>
              <w:lang w:eastAsia="en-AU"/>
            </w:rPr>
          </w:pPr>
          <w:hyperlink w:anchor="_Toc494984615" w:history="1">
            <w:r w:rsidR="002F0A6A" w:rsidRPr="000F5DD6">
              <w:rPr>
                <w:rStyle w:val="Hyperlink"/>
                <w:noProof/>
              </w:rPr>
              <w:t>Our Department</w:t>
            </w:r>
            <w:r w:rsidR="002F0A6A">
              <w:rPr>
                <w:noProof/>
                <w:webHidden/>
              </w:rPr>
              <w:tab/>
            </w:r>
            <w:r w:rsidR="002F0A6A">
              <w:rPr>
                <w:noProof/>
                <w:webHidden/>
              </w:rPr>
              <w:fldChar w:fldCharType="begin"/>
            </w:r>
            <w:r w:rsidR="002F0A6A">
              <w:rPr>
                <w:noProof/>
                <w:webHidden/>
              </w:rPr>
              <w:instrText xml:space="preserve"> PAGEREF _Toc494984615 \h </w:instrText>
            </w:r>
            <w:r w:rsidR="002F0A6A">
              <w:rPr>
                <w:noProof/>
                <w:webHidden/>
              </w:rPr>
            </w:r>
            <w:r w:rsidR="002F0A6A">
              <w:rPr>
                <w:noProof/>
                <w:webHidden/>
              </w:rPr>
              <w:fldChar w:fldCharType="separate"/>
            </w:r>
            <w:r w:rsidR="002F0A6A">
              <w:rPr>
                <w:noProof/>
                <w:webHidden/>
              </w:rPr>
              <w:t>9</w:t>
            </w:r>
            <w:r w:rsidR="002F0A6A">
              <w:rPr>
                <w:noProof/>
                <w:webHidden/>
              </w:rPr>
              <w:fldChar w:fldCharType="end"/>
            </w:r>
          </w:hyperlink>
        </w:p>
        <w:p w14:paraId="622DA29D" w14:textId="72F5F480" w:rsidR="002F0A6A" w:rsidRDefault="00455FE3">
          <w:pPr>
            <w:pStyle w:val="TOC1"/>
            <w:rPr>
              <w:rFonts w:asciiTheme="minorHAnsi" w:eastAsiaTheme="minorEastAsia" w:hAnsiTheme="minorHAnsi"/>
              <w:noProof/>
              <w:lang w:eastAsia="en-AU"/>
            </w:rPr>
          </w:pPr>
          <w:hyperlink w:anchor="_Toc494984616" w:history="1">
            <w:r w:rsidR="002F0A6A" w:rsidRPr="000F5DD6">
              <w:rPr>
                <w:rStyle w:val="Hyperlink"/>
                <w:noProof/>
              </w:rPr>
              <w:t>Organisational Structure</w:t>
            </w:r>
            <w:r w:rsidR="002F0A6A">
              <w:rPr>
                <w:noProof/>
                <w:webHidden/>
              </w:rPr>
              <w:tab/>
            </w:r>
            <w:r w:rsidR="002F0A6A">
              <w:rPr>
                <w:noProof/>
                <w:webHidden/>
              </w:rPr>
              <w:fldChar w:fldCharType="begin"/>
            </w:r>
            <w:r w:rsidR="002F0A6A">
              <w:rPr>
                <w:noProof/>
                <w:webHidden/>
              </w:rPr>
              <w:instrText xml:space="preserve"> PAGEREF _Toc494984616 \h </w:instrText>
            </w:r>
            <w:r w:rsidR="002F0A6A">
              <w:rPr>
                <w:noProof/>
                <w:webHidden/>
              </w:rPr>
            </w:r>
            <w:r w:rsidR="002F0A6A">
              <w:rPr>
                <w:noProof/>
                <w:webHidden/>
              </w:rPr>
              <w:fldChar w:fldCharType="separate"/>
            </w:r>
            <w:r w:rsidR="002F0A6A">
              <w:rPr>
                <w:noProof/>
                <w:webHidden/>
              </w:rPr>
              <w:t>12</w:t>
            </w:r>
            <w:r w:rsidR="002F0A6A">
              <w:rPr>
                <w:noProof/>
                <w:webHidden/>
              </w:rPr>
              <w:fldChar w:fldCharType="end"/>
            </w:r>
          </w:hyperlink>
        </w:p>
        <w:p w14:paraId="0BC44A9D" w14:textId="2B30DA45" w:rsidR="002F0A6A" w:rsidRDefault="00455FE3">
          <w:pPr>
            <w:pStyle w:val="TOC1"/>
            <w:rPr>
              <w:rFonts w:asciiTheme="minorHAnsi" w:eastAsiaTheme="minorEastAsia" w:hAnsiTheme="minorHAnsi"/>
              <w:noProof/>
              <w:lang w:eastAsia="en-AU"/>
            </w:rPr>
          </w:pPr>
          <w:hyperlink w:anchor="_Toc494984617" w:history="1">
            <w:r w:rsidR="002F0A6A" w:rsidRPr="000F5DD6">
              <w:rPr>
                <w:rStyle w:val="Hyperlink"/>
                <w:noProof/>
              </w:rPr>
              <w:t>Our Organisational Structure</w:t>
            </w:r>
            <w:r w:rsidR="002F0A6A">
              <w:rPr>
                <w:noProof/>
                <w:webHidden/>
              </w:rPr>
              <w:tab/>
            </w:r>
            <w:r w:rsidR="002F0A6A">
              <w:rPr>
                <w:noProof/>
                <w:webHidden/>
              </w:rPr>
              <w:fldChar w:fldCharType="begin"/>
            </w:r>
            <w:r w:rsidR="002F0A6A">
              <w:rPr>
                <w:noProof/>
                <w:webHidden/>
              </w:rPr>
              <w:instrText xml:space="preserve"> PAGEREF _Toc494984617 \h </w:instrText>
            </w:r>
            <w:r w:rsidR="002F0A6A">
              <w:rPr>
                <w:noProof/>
                <w:webHidden/>
              </w:rPr>
            </w:r>
            <w:r w:rsidR="002F0A6A">
              <w:rPr>
                <w:noProof/>
                <w:webHidden/>
              </w:rPr>
              <w:fldChar w:fldCharType="separate"/>
            </w:r>
            <w:r w:rsidR="002F0A6A">
              <w:rPr>
                <w:noProof/>
                <w:webHidden/>
              </w:rPr>
              <w:t>13</w:t>
            </w:r>
            <w:r w:rsidR="002F0A6A">
              <w:rPr>
                <w:noProof/>
                <w:webHidden/>
              </w:rPr>
              <w:fldChar w:fldCharType="end"/>
            </w:r>
          </w:hyperlink>
        </w:p>
        <w:p w14:paraId="046F19E4" w14:textId="0E951F37" w:rsidR="002F0A6A" w:rsidRDefault="00455FE3">
          <w:pPr>
            <w:pStyle w:val="TOC1"/>
            <w:rPr>
              <w:rFonts w:asciiTheme="minorHAnsi" w:eastAsiaTheme="minorEastAsia" w:hAnsiTheme="minorHAnsi"/>
              <w:noProof/>
              <w:lang w:eastAsia="en-AU"/>
            </w:rPr>
          </w:pPr>
          <w:hyperlink w:anchor="_Toc494984618" w:history="1">
            <w:r w:rsidR="002F0A6A" w:rsidRPr="000F5DD6">
              <w:rPr>
                <w:rStyle w:val="Hyperlink"/>
                <w:noProof/>
              </w:rPr>
              <w:t>Severe Tropical Cyclone Debbie – Working Together</w:t>
            </w:r>
            <w:r w:rsidR="002F0A6A">
              <w:rPr>
                <w:noProof/>
                <w:webHidden/>
              </w:rPr>
              <w:tab/>
            </w:r>
            <w:r w:rsidR="002F0A6A">
              <w:rPr>
                <w:noProof/>
                <w:webHidden/>
              </w:rPr>
              <w:fldChar w:fldCharType="begin"/>
            </w:r>
            <w:r w:rsidR="002F0A6A">
              <w:rPr>
                <w:noProof/>
                <w:webHidden/>
              </w:rPr>
              <w:instrText xml:space="preserve"> PAGEREF _Toc494984618 \h </w:instrText>
            </w:r>
            <w:r w:rsidR="002F0A6A">
              <w:rPr>
                <w:noProof/>
                <w:webHidden/>
              </w:rPr>
            </w:r>
            <w:r w:rsidR="002F0A6A">
              <w:rPr>
                <w:noProof/>
                <w:webHidden/>
              </w:rPr>
              <w:fldChar w:fldCharType="separate"/>
            </w:r>
            <w:r w:rsidR="002F0A6A">
              <w:rPr>
                <w:noProof/>
                <w:webHidden/>
              </w:rPr>
              <w:t>14</w:t>
            </w:r>
            <w:r w:rsidR="002F0A6A">
              <w:rPr>
                <w:noProof/>
                <w:webHidden/>
              </w:rPr>
              <w:fldChar w:fldCharType="end"/>
            </w:r>
          </w:hyperlink>
        </w:p>
        <w:p w14:paraId="354103CA" w14:textId="08D50957" w:rsidR="002F0A6A" w:rsidRDefault="00455FE3">
          <w:pPr>
            <w:pStyle w:val="TOC1"/>
            <w:rPr>
              <w:rFonts w:asciiTheme="minorHAnsi" w:eastAsiaTheme="minorEastAsia" w:hAnsiTheme="minorHAnsi"/>
              <w:noProof/>
              <w:lang w:eastAsia="en-AU"/>
            </w:rPr>
          </w:pPr>
          <w:hyperlink w:anchor="_Toc494984619" w:history="1">
            <w:r w:rsidR="002F0A6A" w:rsidRPr="000F5DD6">
              <w:rPr>
                <w:rStyle w:val="Hyperlink"/>
                <w:noProof/>
              </w:rPr>
              <w:t>Our Achievements against our Strategic Plan</w:t>
            </w:r>
            <w:r w:rsidR="002F0A6A">
              <w:rPr>
                <w:noProof/>
                <w:webHidden/>
              </w:rPr>
              <w:tab/>
            </w:r>
            <w:r w:rsidR="002F0A6A">
              <w:rPr>
                <w:noProof/>
                <w:webHidden/>
              </w:rPr>
              <w:fldChar w:fldCharType="begin"/>
            </w:r>
            <w:r w:rsidR="002F0A6A">
              <w:rPr>
                <w:noProof/>
                <w:webHidden/>
              </w:rPr>
              <w:instrText xml:space="preserve"> PAGEREF _Toc494984619 \h </w:instrText>
            </w:r>
            <w:r w:rsidR="002F0A6A">
              <w:rPr>
                <w:noProof/>
                <w:webHidden/>
              </w:rPr>
            </w:r>
            <w:r w:rsidR="002F0A6A">
              <w:rPr>
                <w:noProof/>
                <w:webHidden/>
              </w:rPr>
              <w:fldChar w:fldCharType="separate"/>
            </w:r>
            <w:r w:rsidR="002F0A6A">
              <w:rPr>
                <w:noProof/>
                <w:webHidden/>
              </w:rPr>
              <w:t>16</w:t>
            </w:r>
            <w:r w:rsidR="002F0A6A">
              <w:rPr>
                <w:noProof/>
                <w:webHidden/>
              </w:rPr>
              <w:fldChar w:fldCharType="end"/>
            </w:r>
          </w:hyperlink>
        </w:p>
        <w:p w14:paraId="1A3B2C8F" w14:textId="6E122CF2" w:rsidR="002F0A6A" w:rsidRDefault="00455FE3">
          <w:pPr>
            <w:pStyle w:val="TOC1"/>
            <w:rPr>
              <w:rFonts w:asciiTheme="minorHAnsi" w:eastAsiaTheme="minorEastAsia" w:hAnsiTheme="minorHAnsi"/>
              <w:noProof/>
              <w:lang w:eastAsia="en-AU"/>
            </w:rPr>
          </w:pPr>
          <w:hyperlink w:anchor="_Toc494984620" w:history="1">
            <w:r w:rsidR="002F0A6A" w:rsidRPr="000F5DD6">
              <w:rPr>
                <w:rStyle w:val="Hyperlink"/>
                <w:noProof/>
              </w:rPr>
              <w:t>Objective 1: People and communities</w:t>
            </w:r>
            <w:r w:rsidR="002F0A6A">
              <w:rPr>
                <w:noProof/>
                <w:webHidden/>
              </w:rPr>
              <w:tab/>
            </w:r>
            <w:r w:rsidR="002F0A6A">
              <w:rPr>
                <w:noProof/>
                <w:webHidden/>
              </w:rPr>
              <w:fldChar w:fldCharType="begin"/>
            </w:r>
            <w:r w:rsidR="002F0A6A">
              <w:rPr>
                <w:noProof/>
                <w:webHidden/>
              </w:rPr>
              <w:instrText xml:space="preserve"> PAGEREF _Toc494984620 \h </w:instrText>
            </w:r>
            <w:r w:rsidR="002F0A6A">
              <w:rPr>
                <w:noProof/>
                <w:webHidden/>
              </w:rPr>
            </w:r>
            <w:r w:rsidR="002F0A6A">
              <w:rPr>
                <w:noProof/>
                <w:webHidden/>
              </w:rPr>
              <w:fldChar w:fldCharType="separate"/>
            </w:r>
            <w:r w:rsidR="002F0A6A">
              <w:rPr>
                <w:noProof/>
                <w:webHidden/>
              </w:rPr>
              <w:t>17</w:t>
            </w:r>
            <w:r w:rsidR="002F0A6A">
              <w:rPr>
                <w:noProof/>
                <w:webHidden/>
              </w:rPr>
              <w:fldChar w:fldCharType="end"/>
            </w:r>
          </w:hyperlink>
        </w:p>
        <w:p w14:paraId="6B292B0F" w14:textId="07F477B4" w:rsidR="002F0A6A" w:rsidRDefault="00455FE3">
          <w:pPr>
            <w:pStyle w:val="TOC1"/>
            <w:rPr>
              <w:rFonts w:asciiTheme="minorHAnsi" w:eastAsiaTheme="minorEastAsia" w:hAnsiTheme="minorHAnsi"/>
              <w:noProof/>
              <w:lang w:eastAsia="en-AU"/>
            </w:rPr>
          </w:pPr>
          <w:hyperlink w:anchor="_Toc494984621" w:history="1">
            <w:r w:rsidR="002F0A6A" w:rsidRPr="000F5DD6">
              <w:rPr>
                <w:rStyle w:val="Hyperlink"/>
                <w:noProof/>
              </w:rPr>
              <w:t>Objective 2: Industry, business and the environment</w:t>
            </w:r>
            <w:r w:rsidR="002F0A6A">
              <w:rPr>
                <w:noProof/>
                <w:webHidden/>
              </w:rPr>
              <w:tab/>
            </w:r>
            <w:r w:rsidR="002F0A6A">
              <w:rPr>
                <w:noProof/>
                <w:webHidden/>
              </w:rPr>
              <w:fldChar w:fldCharType="begin"/>
            </w:r>
            <w:r w:rsidR="002F0A6A">
              <w:rPr>
                <w:noProof/>
                <w:webHidden/>
              </w:rPr>
              <w:instrText xml:space="preserve"> PAGEREF _Toc494984621 \h </w:instrText>
            </w:r>
            <w:r w:rsidR="002F0A6A">
              <w:rPr>
                <w:noProof/>
                <w:webHidden/>
              </w:rPr>
            </w:r>
            <w:r w:rsidR="002F0A6A">
              <w:rPr>
                <w:noProof/>
                <w:webHidden/>
              </w:rPr>
              <w:fldChar w:fldCharType="separate"/>
            </w:r>
            <w:r w:rsidR="002F0A6A">
              <w:rPr>
                <w:noProof/>
                <w:webHidden/>
              </w:rPr>
              <w:t>19</w:t>
            </w:r>
            <w:r w:rsidR="002F0A6A">
              <w:rPr>
                <w:noProof/>
                <w:webHidden/>
              </w:rPr>
              <w:fldChar w:fldCharType="end"/>
            </w:r>
          </w:hyperlink>
        </w:p>
        <w:p w14:paraId="2565D8BC" w14:textId="435559E1" w:rsidR="002F0A6A" w:rsidRDefault="00455FE3">
          <w:pPr>
            <w:pStyle w:val="TOC1"/>
            <w:rPr>
              <w:rFonts w:asciiTheme="minorHAnsi" w:eastAsiaTheme="minorEastAsia" w:hAnsiTheme="minorHAnsi"/>
              <w:noProof/>
              <w:lang w:eastAsia="en-AU"/>
            </w:rPr>
          </w:pPr>
          <w:hyperlink w:anchor="_Toc494984622" w:history="1">
            <w:r w:rsidR="002F0A6A" w:rsidRPr="000F5DD6">
              <w:rPr>
                <w:rStyle w:val="Hyperlink"/>
                <w:noProof/>
              </w:rPr>
              <w:t>Objective 3: Value for Queensland</w:t>
            </w:r>
            <w:r w:rsidR="002F0A6A">
              <w:rPr>
                <w:noProof/>
                <w:webHidden/>
              </w:rPr>
              <w:tab/>
            </w:r>
            <w:r w:rsidR="002F0A6A">
              <w:rPr>
                <w:noProof/>
                <w:webHidden/>
              </w:rPr>
              <w:fldChar w:fldCharType="begin"/>
            </w:r>
            <w:r w:rsidR="002F0A6A">
              <w:rPr>
                <w:noProof/>
                <w:webHidden/>
              </w:rPr>
              <w:instrText xml:space="preserve"> PAGEREF _Toc494984622 \h </w:instrText>
            </w:r>
            <w:r w:rsidR="002F0A6A">
              <w:rPr>
                <w:noProof/>
                <w:webHidden/>
              </w:rPr>
            </w:r>
            <w:r w:rsidR="002F0A6A">
              <w:rPr>
                <w:noProof/>
                <w:webHidden/>
              </w:rPr>
              <w:fldChar w:fldCharType="separate"/>
            </w:r>
            <w:r w:rsidR="002F0A6A">
              <w:rPr>
                <w:noProof/>
                <w:webHidden/>
              </w:rPr>
              <w:t>20</w:t>
            </w:r>
            <w:r w:rsidR="002F0A6A">
              <w:rPr>
                <w:noProof/>
                <w:webHidden/>
              </w:rPr>
              <w:fldChar w:fldCharType="end"/>
            </w:r>
          </w:hyperlink>
        </w:p>
        <w:p w14:paraId="4F38688E" w14:textId="44060D50" w:rsidR="002F0A6A" w:rsidRDefault="00455FE3">
          <w:pPr>
            <w:pStyle w:val="TOC1"/>
            <w:rPr>
              <w:rFonts w:asciiTheme="minorHAnsi" w:eastAsiaTheme="minorEastAsia" w:hAnsiTheme="minorHAnsi"/>
              <w:noProof/>
              <w:lang w:eastAsia="en-AU"/>
            </w:rPr>
          </w:pPr>
          <w:hyperlink w:anchor="_Toc494984623" w:history="1">
            <w:r w:rsidR="002F0A6A" w:rsidRPr="000F5DD6">
              <w:rPr>
                <w:rStyle w:val="Hyperlink"/>
                <w:noProof/>
              </w:rPr>
              <w:t>Objective 4: Our organisation</w:t>
            </w:r>
            <w:r w:rsidR="002F0A6A">
              <w:rPr>
                <w:noProof/>
                <w:webHidden/>
              </w:rPr>
              <w:tab/>
            </w:r>
            <w:r w:rsidR="002F0A6A">
              <w:rPr>
                <w:noProof/>
                <w:webHidden/>
              </w:rPr>
              <w:fldChar w:fldCharType="begin"/>
            </w:r>
            <w:r w:rsidR="002F0A6A">
              <w:rPr>
                <w:noProof/>
                <w:webHidden/>
              </w:rPr>
              <w:instrText xml:space="preserve"> PAGEREF _Toc494984623 \h </w:instrText>
            </w:r>
            <w:r w:rsidR="002F0A6A">
              <w:rPr>
                <w:noProof/>
                <w:webHidden/>
              </w:rPr>
            </w:r>
            <w:r w:rsidR="002F0A6A">
              <w:rPr>
                <w:noProof/>
                <w:webHidden/>
              </w:rPr>
              <w:fldChar w:fldCharType="separate"/>
            </w:r>
            <w:r w:rsidR="002F0A6A">
              <w:rPr>
                <w:noProof/>
                <w:webHidden/>
              </w:rPr>
              <w:t>21</w:t>
            </w:r>
            <w:r w:rsidR="002F0A6A">
              <w:rPr>
                <w:noProof/>
                <w:webHidden/>
              </w:rPr>
              <w:fldChar w:fldCharType="end"/>
            </w:r>
          </w:hyperlink>
        </w:p>
        <w:p w14:paraId="420FFBA2" w14:textId="20FD002B" w:rsidR="002F0A6A" w:rsidRDefault="00455FE3">
          <w:pPr>
            <w:pStyle w:val="TOC1"/>
            <w:rPr>
              <w:rFonts w:asciiTheme="minorHAnsi" w:eastAsiaTheme="minorEastAsia" w:hAnsiTheme="minorHAnsi"/>
              <w:noProof/>
              <w:lang w:eastAsia="en-AU"/>
            </w:rPr>
          </w:pPr>
          <w:hyperlink w:anchor="_Toc494984624" w:history="1">
            <w:r w:rsidR="002F0A6A" w:rsidRPr="000F5DD6">
              <w:rPr>
                <w:rStyle w:val="Hyperlink"/>
                <w:noProof/>
              </w:rPr>
              <w:t>Our Service Areas and Commercialised Business Units</w:t>
            </w:r>
            <w:r w:rsidR="002F0A6A">
              <w:rPr>
                <w:noProof/>
                <w:webHidden/>
              </w:rPr>
              <w:tab/>
            </w:r>
            <w:r w:rsidR="002F0A6A">
              <w:rPr>
                <w:noProof/>
                <w:webHidden/>
              </w:rPr>
              <w:fldChar w:fldCharType="begin"/>
            </w:r>
            <w:r w:rsidR="002F0A6A">
              <w:rPr>
                <w:noProof/>
                <w:webHidden/>
              </w:rPr>
              <w:instrText xml:space="preserve"> PAGEREF _Toc494984624 \h </w:instrText>
            </w:r>
            <w:r w:rsidR="002F0A6A">
              <w:rPr>
                <w:noProof/>
                <w:webHidden/>
              </w:rPr>
            </w:r>
            <w:r w:rsidR="002F0A6A">
              <w:rPr>
                <w:noProof/>
                <w:webHidden/>
              </w:rPr>
              <w:fldChar w:fldCharType="separate"/>
            </w:r>
            <w:r w:rsidR="002F0A6A">
              <w:rPr>
                <w:noProof/>
                <w:webHidden/>
              </w:rPr>
              <w:t>23</w:t>
            </w:r>
            <w:r w:rsidR="002F0A6A">
              <w:rPr>
                <w:noProof/>
                <w:webHidden/>
              </w:rPr>
              <w:fldChar w:fldCharType="end"/>
            </w:r>
          </w:hyperlink>
        </w:p>
        <w:p w14:paraId="7A354CD7" w14:textId="344E0D5D" w:rsidR="002F0A6A" w:rsidRDefault="00455FE3">
          <w:pPr>
            <w:pStyle w:val="TOC2"/>
            <w:tabs>
              <w:tab w:val="right" w:leader="dot" w:pos="9854"/>
            </w:tabs>
            <w:rPr>
              <w:rFonts w:asciiTheme="minorHAnsi" w:eastAsiaTheme="minorEastAsia" w:hAnsiTheme="minorHAnsi"/>
              <w:noProof/>
              <w:lang w:eastAsia="en-AU"/>
            </w:rPr>
          </w:pPr>
          <w:hyperlink w:anchor="_Toc494984625" w:history="1">
            <w:r w:rsidR="002F0A6A" w:rsidRPr="000F5DD6">
              <w:rPr>
                <w:rStyle w:val="Hyperlink"/>
                <w:noProof/>
              </w:rPr>
              <w:t>Housing and Homelessness Services</w:t>
            </w:r>
            <w:r w:rsidR="002F0A6A">
              <w:rPr>
                <w:noProof/>
                <w:webHidden/>
              </w:rPr>
              <w:tab/>
            </w:r>
            <w:r w:rsidR="002F0A6A">
              <w:rPr>
                <w:noProof/>
                <w:webHidden/>
              </w:rPr>
              <w:fldChar w:fldCharType="begin"/>
            </w:r>
            <w:r w:rsidR="002F0A6A">
              <w:rPr>
                <w:noProof/>
                <w:webHidden/>
              </w:rPr>
              <w:instrText xml:space="preserve"> PAGEREF _Toc494984625 \h </w:instrText>
            </w:r>
            <w:r w:rsidR="002F0A6A">
              <w:rPr>
                <w:noProof/>
                <w:webHidden/>
              </w:rPr>
            </w:r>
            <w:r w:rsidR="002F0A6A">
              <w:rPr>
                <w:noProof/>
                <w:webHidden/>
              </w:rPr>
              <w:fldChar w:fldCharType="separate"/>
            </w:r>
            <w:r w:rsidR="002F0A6A">
              <w:rPr>
                <w:noProof/>
                <w:webHidden/>
              </w:rPr>
              <w:t>24</w:t>
            </w:r>
            <w:r w:rsidR="002F0A6A">
              <w:rPr>
                <w:noProof/>
                <w:webHidden/>
              </w:rPr>
              <w:fldChar w:fldCharType="end"/>
            </w:r>
          </w:hyperlink>
        </w:p>
        <w:p w14:paraId="69D1CFE3" w14:textId="39C219FF" w:rsidR="002F0A6A" w:rsidRDefault="00455FE3">
          <w:pPr>
            <w:pStyle w:val="TOC2"/>
            <w:tabs>
              <w:tab w:val="right" w:leader="dot" w:pos="9854"/>
            </w:tabs>
            <w:rPr>
              <w:rFonts w:asciiTheme="minorHAnsi" w:eastAsiaTheme="minorEastAsia" w:hAnsiTheme="minorHAnsi"/>
              <w:noProof/>
              <w:lang w:eastAsia="en-AU"/>
            </w:rPr>
          </w:pPr>
          <w:hyperlink w:anchor="_Toc494984626" w:history="1">
            <w:r w:rsidR="002F0A6A" w:rsidRPr="000F5DD6">
              <w:rPr>
                <w:rStyle w:val="Hyperlink"/>
                <w:noProof/>
              </w:rPr>
              <w:t>Government Accommodation and Building Policy Services</w:t>
            </w:r>
            <w:r w:rsidR="002F0A6A">
              <w:rPr>
                <w:noProof/>
                <w:webHidden/>
              </w:rPr>
              <w:tab/>
            </w:r>
            <w:r w:rsidR="002F0A6A">
              <w:rPr>
                <w:noProof/>
                <w:webHidden/>
              </w:rPr>
              <w:fldChar w:fldCharType="begin"/>
            </w:r>
            <w:r w:rsidR="002F0A6A">
              <w:rPr>
                <w:noProof/>
                <w:webHidden/>
              </w:rPr>
              <w:instrText xml:space="preserve"> PAGEREF _Toc494984626 \h </w:instrText>
            </w:r>
            <w:r w:rsidR="002F0A6A">
              <w:rPr>
                <w:noProof/>
                <w:webHidden/>
              </w:rPr>
            </w:r>
            <w:r w:rsidR="002F0A6A">
              <w:rPr>
                <w:noProof/>
                <w:webHidden/>
              </w:rPr>
              <w:fldChar w:fldCharType="separate"/>
            </w:r>
            <w:r w:rsidR="002F0A6A">
              <w:rPr>
                <w:noProof/>
                <w:webHidden/>
              </w:rPr>
              <w:t>31</w:t>
            </w:r>
            <w:r w:rsidR="002F0A6A">
              <w:rPr>
                <w:noProof/>
                <w:webHidden/>
              </w:rPr>
              <w:fldChar w:fldCharType="end"/>
            </w:r>
          </w:hyperlink>
        </w:p>
        <w:p w14:paraId="31211401" w14:textId="65FAA78E" w:rsidR="002F0A6A" w:rsidRDefault="00455FE3">
          <w:pPr>
            <w:pStyle w:val="TOC2"/>
            <w:tabs>
              <w:tab w:val="right" w:leader="dot" w:pos="9854"/>
            </w:tabs>
            <w:rPr>
              <w:rFonts w:asciiTheme="minorHAnsi" w:eastAsiaTheme="minorEastAsia" w:hAnsiTheme="minorHAnsi"/>
              <w:noProof/>
              <w:lang w:eastAsia="en-AU"/>
            </w:rPr>
          </w:pPr>
          <w:hyperlink w:anchor="_Toc494984627" w:history="1">
            <w:r w:rsidR="002F0A6A" w:rsidRPr="000F5DD6">
              <w:rPr>
                <w:rStyle w:val="Hyperlink"/>
                <w:noProof/>
              </w:rPr>
              <w:t>Procurement Services</w:t>
            </w:r>
            <w:r w:rsidR="002F0A6A">
              <w:rPr>
                <w:noProof/>
                <w:webHidden/>
              </w:rPr>
              <w:tab/>
            </w:r>
            <w:r w:rsidR="002F0A6A">
              <w:rPr>
                <w:noProof/>
                <w:webHidden/>
              </w:rPr>
              <w:fldChar w:fldCharType="begin"/>
            </w:r>
            <w:r w:rsidR="002F0A6A">
              <w:rPr>
                <w:noProof/>
                <w:webHidden/>
              </w:rPr>
              <w:instrText xml:space="preserve"> PAGEREF _Toc494984627 \h </w:instrText>
            </w:r>
            <w:r w:rsidR="002F0A6A">
              <w:rPr>
                <w:noProof/>
                <w:webHidden/>
              </w:rPr>
            </w:r>
            <w:r w:rsidR="002F0A6A">
              <w:rPr>
                <w:noProof/>
                <w:webHidden/>
              </w:rPr>
              <w:fldChar w:fldCharType="separate"/>
            </w:r>
            <w:r w:rsidR="002F0A6A">
              <w:rPr>
                <w:noProof/>
                <w:webHidden/>
              </w:rPr>
              <w:t>37</w:t>
            </w:r>
            <w:r w:rsidR="002F0A6A">
              <w:rPr>
                <w:noProof/>
                <w:webHidden/>
              </w:rPr>
              <w:fldChar w:fldCharType="end"/>
            </w:r>
          </w:hyperlink>
        </w:p>
        <w:p w14:paraId="5D092A5A" w14:textId="13C43355" w:rsidR="002F0A6A" w:rsidRDefault="00455FE3">
          <w:pPr>
            <w:pStyle w:val="TOC2"/>
            <w:tabs>
              <w:tab w:val="right" w:leader="dot" w:pos="9854"/>
            </w:tabs>
            <w:rPr>
              <w:rFonts w:asciiTheme="minorHAnsi" w:eastAsiaTheme="minorEastAsia" w:hAnsiTheme="minorHAnsi"/>
              <w:noProof/>
              <w:lang w:eastAsia="en-AU"/>
            </w:rPr>
          </w:pPr>
          <w:hyperlink w:anchor="_Toc494984628" w:history="1">
            <w:r w:rsidR="002F0A6A" w:rsidRPr="000F5DD6">
              <w:rPr>
                <w:rStyle w:val="Hyperlink"/>
                <w:noProof/>
              </w:rPr>
              <w:t>Building and Asset Services</w:t>
            </w:r>
            <w:r w:rsidR="002F0A6A">
              <w:rPr>
                <w:noProof/>
                <w:webHidden/>
              </w:rPr>
              <w:tab/>
            </w:r>
            <w:r w:rsidR="002F0A6A">
              <w:rPr>
                <w:noProof/>
                <w:webHidden/>
              </w:rPr>
              <w:fldChar w:fldCharType="begin"/>
            </w:r>
            <w:r w:rsidR="002F0A6A">
              <w:rPr>
                <w:noProof/>
                <w:webHidden/>
              </w:rPr>
              <w:instrText xml:space="preserve"> PAGEREF _Toc494984628 \h </w:instrText>
            </w:r>
            <w:r w:rsidR="002F0A6A">
              <w:rPr>
                <w:noProof/>
                <w:webHidden/>
              </w:rPr>
            </w:r>
            <w:r w:rsidR="002F0A6A">
              <w:rPr>
                <w:noProof/>
                <w:webHidden/>
              </w:rPr>
              <w:fldChar w:fldCharType="separate"/>
            </w:r>
            <w:r w:rsidR="002F0A6A">
              <w:rPr>
                <w:noProof/>
                <w:webHidden/>
              </w:rPr>
              <w:t>40</w:t>
            </w:r>
            <w:r w:rsidR="002F0A6A">
              <w:rPr>
                <w:noProof/>
                <w:webHidden/>
              </w:rPr>
              <w:fldChar w:fldCharType="end"/>
            </w:r>
          </w:hyperlink>
        </w:p>
        <w:p w14:paraId="43AA9D2E" w14:textId="65D83E74" w:rsidR="002F0A6A" w:rsidRDefault="00455FE3">
          <w:pPr>
            <w:pStyle w:val="TOC2"/>
            <w:tabs>
              <w:tab w:val="right" w:leader="dot" w:pos="9854"/>
            </w:tabs>
            <w:rPr>
              <w:rFonts w:asciiTheme="minorHAnsi" w:eastAsiaTheme="minorEastAsia" w:hAnsiTheme="minorHAnsi"/>
              <w:noProof/>
              <w:lang w:eastAsia="en-AU"/>
            </w:rPr>
          </w:pPr>
          <w:hyperlink w:anchor="_Toc494984629" w:history="1">
            <w:r w:rsidR="002F0A6A" w:rsidRPr="000F5DD6">
              <w:rPr>
                <w:rStyle w:val="Hyperlink"/>
                <w:noProof/>
              </w:rPr>
              <w:t>QFleet</w:t>
            </w:r>
            <w:r w:rsidR="002F0A6A">
              <w:rPr>
                <w:noProof/>
                <w:webHidden/>
              </w:rPr>
              <w:tab/>
            </w:r>
            <w:r w:rsidR="002F0A6A">
              <w:rPr>
                <w:noProof/>
                <w:webHidden/>
              </w:rPr>
              <w:fldChar w:fldCharType="begin"/>
            </w:r>
            <w:r w:rsidR="002F0A6A">
              <w:rPr>
                <w:noProof/>
                <w:webHidden/>
              </w:rPr>
              <w:instrText xml:space="preserve"> PAGEREF _Toc494984629 \h </w:instrText>
            </w:r>
            <w:r w:rsidR="002F0A6A">
              <w:rPr>
                <w:noProof/>
                <w:webHidden/>
              </w:rPr>
            </w:r>
            <w:r w:rsidR="002F0A6A">
              <w:rPr>
                <w:noProof/>
                <w:webHidden/>
              </w:rPr>
              <w:fldChar w:fldCharType="separate"/>
            </w:r>
            <w:r w:rsidR="002F0A6A">
              <w:rPr>
                <w:noProof/>
                <w:webHidden/>
              </w:rPr>
              <w:t>42</w:t>
            </w:r>
            <w:r w:rsidR="002F0A6A">
              <w:rPr>
                <w:noProof/>
                <w:webHidden/>
              </w:rPr>
              <w:fldChar w:fldCharType="end"/>
            </w:r>
          </w:hyperlink>
        </w:p>
        <w:p w14:paraId="035CC96D" w14:textId="656A28FA" w:rsidR="002F0A6A" w:rsidRDefault="00455FE3">
          <w:pPr>
            <w:pStyle w:val="TOC1"/>
            <w:rPr>
              <w:rFonts w:asciiTheme="minorHAnsi" w:eastAsiaTheme="minorEastAsia" w:hAnsiTheme="minorHAnsi"/>
              <w:noProof/>
              <w:lang w:eastAsia="en-AU"/>
            </w:rPr>
          </w:pPr>
          <w:hyperlink w:anchor="_Toc494984630" w:history="1">
            <w:r w:rsidR="002F0A6A" w:rsidRPr="000F5DD6">
              <w:rPr>
                <w:rStyle w:val="Hyperlink"/>
                <w:noProof/>
              </w:rPr>
              <w:t>Our Governance</w:t>
            </w:r>
            <w:r w:rsidR="002F0A6A">
              <w:rPr>
                <w:noProof/>
                <w:webHidden/>
              </w:rPr>
              <w:tab/>
            </w:r>
            <w:r w:rsidR="002F0A6A">
              <w:rPr>
                <w:noProof/>
                <w:webHidden/>
              </w:rPr>
              <w:fldChar w:fldCharType="begin"/>
            </w:r>
            <w:r w:rsidR="002F0A6A">
              <w:rPr>
                <w:noProof/>
                <w:webHidden/>
              </w:rPr>
              <w:instrText xml:space="preserve"> PAGEREF _Toc494984630 \h </w:instrText>
            </w:r>
            <w:r w:rsidR="002F0A6A">
              <w:rPr>
                <w:noProof/>
                <w:webHidden/>
              </w:rPr>
            </w:r>
            <w:r w:rsidR="002F0A6A">
              <w:rPr>
                <w:noProof/>
                <w:webHidden/>
              </w:rPr>
              <w:fldChar w:fldCharType="separate"/>
            </w:r>
            <w:r w:rsidR="002F0A6A">
              <w:rPr>
                <w:noProof/>
                <w:webHidden/>
              </w:rPr>
              <w:t>45</w:t>
            </w:r>
            <w:r w:rsidR="002F0A6A">
              <w:rPr>
                <w:noProof/>
                <w:webHidden/>
              </w:rPr>
              <w:fldChar w:fldCharType="end"/>
            </w:r>
          </w:hyperlink>
        </w:p>
        <w:p w14:paraId="19A81AAA" w14:textId="08BB6D7C" w:rsidR="002F0A6A" w:rsidRDefault="00455FE3">
          <w:pPr>
            <w:pStyle w:val="TOC2"/>
            <w:tabs>
              <w:tab w:val="right" w:leader="dot" w:pos="9854"/>
            </w:tabs>
            <w:rPr>
              <w:rFonts w:asciiTheme="minorHAnsi" w:eastAsiaTheme="minorEastAsia" w:hAnsiTheme="minorHAnsi"/>
              <w:noProof/>
              <w:lang w:eastAsia="en-AU"/>
            </w:rPr>
          </w:pPr>
          <w:hyperlink w:anchor="_Toc494984631" w:history="1">
            <w:r w:rsidR="002F0A6A" w:rsidRPr="000F5DD6">
              <w:rPr>
                <w:rStyle w:val="Hyperlink"/>
                <w:noProof/>
              </w:rPr>
              <w:t>Executive Leadership Team</w:t>
            </w:r>
            <w:r w:rsidR="002F0A6A">
              <w:rPr>
                <w:noProof/>
                <w:webHidden/>
              </w:rPr>
              <w:tab/>
            </w:r>
            <w:r w:rsidR="002F0A6A">
              <w:rPr>
                <w:noProof/>
                <w:webHidden/>
              </w:rPr>
              <w:fldChar w:fldCharType="begin"/>
            </w:r>
            <w:r w:rsidR="002F0A6A">
              <w:rPr>
                <w:noProof/>
                <w:webHidden/>
              </w:rPr>
              <w:instrText xml:space="preserve"> PAGEREF _Toc494984631 \h </w:instrText>
            </w:r>
            <w:r w:rsidR="002F0A6A">
              <w:rPr>
                <w:noProof/>
                <w:webHidden/>
              </w:rPr>
            </w:r>
            <w:r w:rsidR="002F0A6A">
              <w:rPr>
                <w:noProof/>
                <w:webHidden/>
              </w:rPr>
              <w:fldChar w:fldCharType="separate"/>
            </w:r>
            <w:r w:rsidR="002F0A6A">
              <w:rPr>
                <w:noProof/>
                <w:webHidden/>
              </w:rPr>
              <w:t>46</w:t>
            </w:r>
            <w:r w:rsidR="002F0A6A">
              <w:rPr>
                <w:noProof/>
                <w:webHidden/>
              </w:rPr>
              <w:fldChar w:fldCharType="end"/>
            </w:r>
          </w:hyperlink>
        </w:p>
        <w:p w14:paraId="6113AAD9" w14:textId="36216376" w:rsidR="002F0A6A" w:rsidRDefault="00455FE3">
          <w:pPr>
            <w:pStyle w:val="TOC2"/>
            <w:tabs>
              <w:tab w:val="right" w:leader="dot" w:pos="9854"/>
            </w:tabs>
            <w:rPr>
              <w:rFonts w:asciiTheme="minorHAnsi" w:eastAsiaTheme="minorEastAsia" w:hAnsiTheme="minorHAnsi"/>
              <w:noProof/>
              <w:lang w:eastAsia="en-AU"/>
            </w:rPr>
          </w:pPr>
          <w:hyperlink w:anchor="_Toc494984632" w:history="1">
            <w:r w:rsidR="002F0A6A" w:rsidRPr="000F5DD6">
              <w:rPr>
                <w:rStyle w:val="Hyperlink"/>
                <w:noProof/>
              </w:rPr>
              <w:t>Our Executive Leadership Team as at 30 June 2017</w:t>
            </w:r>
            <w:r w:rsidR="002F0A6A">
              <w:rPr>
                <w:noProof/>
                <w:webHidden/>
              </w:rPr>
              <w:tab/>
            </w:r>
            <w:r w:rsidR="002F0A6A">
              <w:rPr>
                <w:noProof/>
                <w:webHidden/>
              </w:rPr>
              <w:fldChar w:fldCharType="begin"/>
            </w:r>
            <w:r w:rsidR="002F0A6A">
              <w:rPr>
                <w:noProof/>
                <w:webHidden/>
              </w:rPr>
              <w:instrText xml:space="preserve"> PAGEREF _Toc494984632 \h </w:instrText>
            </w:r>
            <w:r w:rsidR="002F0A6A">
              <w:rPr>
                <w:noProof/>
                <w:webHidden/>
              </w:rPr>
            </w:r>
            <w:r w:rsidR="002F0A6A">
              <w:rPr>
                <w:noProof/>
                <w:webHidden/>
              </w:rPr>
              <w:fldChar w:fldCharType="separate"/>
            </w:r>
            <w:r w:rsidR="002F0A6A">
              <w:rPr>
                <w:noProof/>
                <w:webHidden/>
              </w:rPr>
              <w:t>46</w:t>
            </w:r>
            <w:r w:rsidR="002F0A6A">
              <w:rPr>
                <w:noProof/>
                <w:webHidden/>
              </w:rPr>
              <w:fldChar w:fldCharType="end"/>
            </w:r>
          </w:hyperlink>
        </w:p>
        <w:p w14:paraId="4A8E1E6C" w14:textId="750053C5" w:rsidR="002F0A6A" w:rsidRDefault="00455FE3">
          <w:pPr>
            <w:pStyle w:val="TOC2"/>
            <w:tabs>
              <w:tab w:val="right" w:leader="dot" w:pos="9854"/>
            </w:tabs>
            <w:rPr>
              <w:rFonts w:asciiTheme="minorHAnsi" w:eastAsiaTheme="minorEastAsia" w:hAnsiTheme="minorHAnsi"/>
              <w:noProof/>
              <w:lang w:eastAsia="en-AU"/>
            </w:rPr>
          </w:pPr>
          <w:hyperlink w:anchor="_Toc494984633" w:history="1">
            <w:r w:rsidR="002F0A6A" w:rsidRPr="000F5DD6">
              <w:rPr>
                <w:rStyle w:val="Hyperlink"/>
                <w:noProof/>
              </w:rPr>
              <w:t>Governance Committees</w:t>
            </w:r>
            <w:r w:rsidR="002F0A6A">
              <w:rPr>
                <w:noProof/>
                <w:webHidden/>
              </w:rPr>
              <w:tab/>
            </w:r>
            <w:r w:rsidR="002F0A6A">
              <w:rPr>
                <w:noProof/>
                <w:webHidden/>
              </w:rPr>
              <w:fldChar w:fldCharType="begin"/>
            </w:r>
            <w:r w:rsidR="002F0A6A">
              <w:rPr>
                <w:noProof/>
                <w:webHidden/>
              </w:rPr>
              <w:instrText xml:space="preserve"> PAGEREF _Toc494984633 \h </w:instrText>
            </w:r>
            <w:r w:rsidR="002F0A6A">
              <w:rPr>
                <w:noProof/>
                <w:webHidden/>
              </w:rPr>
            </w:r>
            <w:r w:rsidR="002F0A6A">
              <w:rPr>
                <w:noProof/>
                <w:webHidden/>
              </w:rPr>
              <w:fldChar w:fldCharType="separate"/>
            </w:r>
            <w:r w:rsidR="002F0A6A">
              <w:rPr>
                <w:noProof/>
                <w:webHidden/>
              </w:rPr>
              <w:t>48</w:t>
            </w:r>
            <w:r w:rsidR="002F0A6A">
              <w:rPr>
                <w:noProof/>
                <w:webHidden/>
              </w:rPr>
              <w:fldChar w:fldCharType="end"/>
            </w:r>
          </w:hyperlink>
        </w:p>
        <w:p w14:paraId="4931FC09" w14:textId="2AECE547" w:rsidR="002F0A6A" w:rsidRDefault="00455FE3">
          <w:pPr>
            <w:pStyle w:val="TOC2"/>
            <w:tabs>
              <w:tab w:val="right" w:leader="dot" w:pos="9854"/>
            </w:tabs>
            <w:rPr>
              <w:rFonts w:asciiTheme="minorHAnsi" w:eastAsiaTheme="minorEastAsia" w:hAnsiTheme="minorHAnsi"/>
              <w:noProof/>
              <w:lang w:eastAsia="en-AU"/>
            </w:rPr>
          </w:pPr>
          <w:hyperlink w:anchor="_Toc494984634" w:history="1">
            <w:r w:rsidR="002F0A6A" w:rsidRPr="000F5DD6">
              <w:rPr>
                <w:rStyle w:val="Hyperlink"/>
                <w:noProof/>
              </w:rPr>
              <w:t>Strategic Planning, Performance Monitoring and Reporting</w:t>
            </w:r>
            <w:r w:rsidR="002F0A6A">
              <w:rPr>
                <w:noProof/>
                <w:webHidden/>
              </w:rPr>
              <w:tab/>
            </w:r>
            <w:r w:rsidR="002F0A6A">
              <w:rPr>
                <w:noProof/>
                <w:webHidden/>
              </w:rPr>
              <w:fldChar w:fldCharType="begin"/>
            </w:r>
            <w:r w:rsidR="002F0A6A">
              <w:rPr>
                <w:noProof/>
                <w:webHidden/>
              </w:rPr>
              <w:instrText xml:space="preserve"> PAGEREF _Toc494984634 \h </w:instrText>
            </w:r>
            <w:r w:rsidR="002F0A6A">
              <w:rPr>
                <w:noProof/>
                <w:webHidden/>
              </w:rPr>
            </w:r>
            <w:r w:rsidR="002F0A6A">
              <w:rPr>
                <w:noProof/>
                <w:webHidden/>
              </w:rPr>
              <w:fldChar w:fldCharType="separate"/>
            </w:r>
            <w:r w:rsidR="002F0A6A">
              <w:rPr>
                <w:noProof/>
                <w:webHidden/>
              </w:rPr>
              <w:t>51</w:t>
            </w:r>
            <w:r w:rsidR="002F0A6A">
              <w:rPr>
                <w:noProof/>
                <w:webHidden/>
              </w:rPr>
              <w:fldChar w:fldCharType="end"/>
            </w:r>
          </w:hyperlink>
        </w:p>
        <w:p w14:paraId="1D9EC734" w14:textId="2DE1FD07" w:rsidR="002F0A6A" w:rsidRDefault="00455FE3">
          <w:pPr>
            <w:pStyle w:val="TOC2"/>
            <w:tabs>
              <w:tab w:val="right" w:leader="dot" w:pos="9854"/>
            </w:tabs>
            <w:rPr>
              <w:rFonts w:asciiTheme="minorHAnsi" w:eastAsiaTheme="minorEastAsia" w:hAnsiTheme="minorHAnsi"/>
              <w:noProof/>
              <w:lang w:eastAsia="en-AU"/>
            </w:rPr>
          </w:pPr>
          <w:hyperlink w:anchor="_Toc494984635" w:history="1">
            <w:r w:rsidR="002F0A6A" w:rsidRPr="000F5DD6">
              <w:rPr>
                <w:rStyle w:val="Hyperlink"/>
                <w:noProof/>
              </w:rPr>
              <w:t>Risk Management</w:t>
            </w:r>
            <w:r w:rsidR="002F0A6A">
              <w:rPr>
                <w:noProof/>
                <w:webHidden/>
              </w:rPr>
              <w:tab/>
            </w:r>
            <w:r w:rsidR="002F0A6A">
              <w:rPr>
                <w:noProof/>
                <w:webHidden/>
              </w:rPr>
              <w:fldChar w:fldCharType="begin"/>
            </w:r>
            <w:r w:rsidR="002F0A6A">
              <w:rPr>
                <w:noProof/>
                <w:webHidden/>
              </w:rPr>
              <w:instrText xml:space="preserve"> PAGEREF _Toc494984635 \h </w:instrText>
            </w:r>
            <w:r w:rsidR="002F0A6A">
              <w:rPr>
                <w:noProof/>
                <w:webHidden/>
              </w:rPr>
            </w:r>
            <w:r w:rsidR="002F0A6A">
              <w:rPr>
                <w:noProof/>
                <w:webHidden/>
              </w:rPr>
              <w:fldChar w:fldCharType="separate"/>
            </w:r>
            <w:r w:rsidR="002F0A6A">
              <w:rPr>
                <w:noProof/>
                <w:webHidden/>
              </w:rPr>
              <w:t>52</w:t>
            </w:r>
            <w:r w:rsidR="002F0A6A">
              <w:rPr>
                <w:noProof/>
                <w:webHidden/>
              </w:rPr>
              <w:fldChar w:fldCharType="end"/>
            </w:r>
          </w:hyperlink>
        </w:p>
        <w:p w14:paraId="6F4CD8E0" w14:textId="09B3EE4E" w:rsidR="002F0A6A" w:rsidRDefault="00455FE3">
          <w:pPr>
            <w:pStyle w:val="TOC2"/>
            <w:tabs>
              <w:tab w:val="right" w:leader="dot" w:pos="9854"/>
            </w:tabs>
            <w:rPr>
              <w:rFonts w:asciiTheme="minorHAnsi" w:eastAsiaTheme="minorEastAsia" w:hAnsiTheme="minorHAnsi"/>
              <w:noProof/>
              <w:lang w:eastAsia="en-AU"/>
            </w:rPr>
          </w:pPr>
          <w:hyperlink w:anchor="_Toc494984636" w:history="1">
            <w:r w:rsidR="002F0A6A" w:rsidRPr="000F5DD6">
              <w:rPr>
                <w:rStyle w:val="Hyperlink"/>
                <w:noProof/>
              </w:rPr>
              <w:t>Integrity Services</w:t>
            </w:r>
            <w:r w:rsidR="002F0A6A">
              <w:rPr>
                <w:noProof/>
                <w:webHidden/>
              </w:rPr>
              <w:tab/>
            </w:r>
            <w:r w:rsidR="002F0A6A">
              <w:rPr>
                <w:noProof/>
                <w:webHidden/>
              </w:rPr>
              <w:fldChar w:fldCharType="begin"/>
            </w:r>
            <w:r w:rsidR="002F0A6A">
              <w:rPr>
                <w:noProof/>
                <w:webHidden/>
              </w:rPr>
              <w:instrText xml:space="preserve"> PAGEREF _Toc494984636 \h </w:instrText>
            </w:r>
            <w:r w:rsidR="002F0A6A">
              <w:rPr>
                <w:noProof/>
                <w:webHidden/>
              </w:rPr>
            </w:r>
            <w:r w:rsidR="002F0A6A">
              <w:rPr>
                <w:noProof/>
                <w:webHidden/>
              </w:rPr>
              <w:fldChar w:fldCharType="separate"/>
            </w:r>
            <w:r w:rsidR="002F0A6A">
              <w:rPr>
                <w:noProof/>
                <w:webHidden/>
              </w:rPr>
              <w:t>52</w:t>
            </w:r>
            <w:r w:rsidR="002F0A6A">
              <w:rPr>
                <w:noProof/>
                <w:webHidden/>
              </w:rPr>
              <w:fldChar w:fldCharType="end"/>
            </w:r>
          </w:hyperlink>
        </w:p>
        <w:p w14:paraId="7228F20C" w14:textId="61E5170D" w:rsidR="002F0A6A" w:rsidRDefault="00455FE3">
          <w:pPr>
            <w:pStyle w:val="TOC2"/>
            <w:tabs>
              <w:tab w:val="right" w:leader="dot" w:pos="9854"/>
            </w:tabs>
            <w:rPr>
              <w:rFonts w:asciiTheme="minorHAnsi" w:eastAsiaTheme="minorEastAsia" w:hAnsiTheme="minorHAnsi"/>
              <w:noProof/>
              <w:lang w:eastAsia="en-AU"/>
            </w:rPr>
          </w:pPr>
          <w:hyperlink w:anchor="_Toc494984637" w:history="1">
            <w:r w:rsidR="002F0A6A" w:rsidRPr="000F5DD6">
              <w:rPr>
                <w:rStyle w:val="Hyperlink"/>
                <w:noProof/>
              </w:rPr>
              <w:t>Internal Audit</w:t>
            </w:r>
            <w:r w:rsidR="002F0A6A">
              <w:rPr>
                <w:noProof/>
                <w:webHidden/>
              </w:rPr>
              <w:tab/>
            </w:r>
            <w:r w:rsidR="002F0A6A">
              <w:rPr>
                <w:noProof/>
                <w:webHidden/>
              </w:rPr>
              <w:fldChar w:fldCharType="begin"/>
            </w:r>
            <w:r w:rsidR="002F0A6A">
              <w:rPr>
                <w:noProof/>
                <w:webHidden/>
              </w:rPr>
              <w:instrText xml:space="preserve"> PAGEREF _Toc494984637 \h </w:instrText>
            </w:r>
            <w:r w:rsidR="002F0A6A">
              <w:rPr>
                <w:noProof/>
                <w:webHidden/>
              </w:rPr>
            </w:r>
            <w:r w:rsidR="002F0A6A">
              <w:rPr>
                <w:noProof/>
                <w:webHidden/>
              </w:rPr>
              <w:fldChar w:fldCharType="separate"/>
            </w:r>
            <w:r w:rsidR="002F0A6A">
              <w:rPr>
                <w:noProof/>
                <w:webHidden/>
              </w:rPr>
              <w:t>52</w:t>
            </w:r>
            <w:r w:rsidR="002F0A6A">
              <w:rPr>
                <w:noProof/>
                <w:webHidden/>
              </w:rPr>
              <w:fldChar w:fldCharType="end"/>
            </w:r>
          </w:hyperlink>
        </w:p>
        <w:p w14:paraId="27DAAD1F" w14:textId="77416F55" w:rsidR="002F0A6A" w:rsidRDefault="00455FE3">
          <w:pPr>
            <w:pStyle w:val="TOC2"/>
            <w:tabs>
              <w:tab w:val="right" w:leader="dot" w:pos="9854"/>
            </w:tabs>
            <w:rPr>
              <w:rFonts w:asciiTheme="minorHAnsi" w:eastAsiaTheme="minorEastAsia" w:hAnsiTheme="minorHAnsi"/>
              <w:noProof/>
              <w:lang w:eastAsia="en-AU"/>
            </w:rPr>
          </w:pPr>
          <w:hyperlink w:anchor="_Toc494984638" w:history="1">
            <w:r w:rsidR="002F0A6A" w:rsidRPr="000F5DD6">
              <w:rPr>
                <w:rStyle w:val="Hyperlink"/>
                <w:noProof/>
              </w:rPr>
              <w:t>Information Systems and Recordkeeping</w:t>
            </w:r>
            <w:r w:rsidR="002F0A6A">
              <w:rPr>
                <w:noProof/>
                <w:webHidden/>
              </w:rPr>
              <w:tab/>
            </w:r>
            <w:r w:rsidR="002F0A6A">
              <w:rPr>
                <w:noProof/>
                <w:webHidden/>
              </w:rPr>
              <w:fldChar w:fldCharType="begin"/>
            </w:r>
            <w:r w:rsidR="002F0A6A">
              <w:rPr>
                <w:noProof/>
                <w:webHidden/>
              </w:rPr>
              <w:instrText xml:space="preserve"> PAGEREF _Toc494984638 \h </w:instrText>
            </w:r>
            <w:r w:rsidR="002F0A6A">
              <w:rPr>
                <w:noProof/>
                <w:webHidden/>
              </w:rPr>
            </w:r>
            <w:r w:rsidR="002F0A6A">
              <w:rPr>
                <w:noProof/>
                <w:webHidden/>
              </w:rPr>
              <w:fldChar w:fldCharType="separate"/>
            </w:r>
            <w:r w:rsidR="002F0A6A">
              <w:rPr>
                <w:noProof/>
                <w:webHidden/>
              </w:rPr>
              <w:t>53</w:t>
            </w:r>
            <w:r w:rsidR="002F0A6A">
              <w:rPr>
                <w:noProof/>
                <w:webHidden/>
              </w:rPr>
              <w:fldChar w:fldCharType="end"/>
            </w:r>
          </w:hyperlink>
        </w:p>
        <w:p w14:paraId="0B30545C" w14:textId="5C46B16B" w:rsidR="002F0A6A" w:rsidRDefault="00455FE3">
          <w:pPr>
            <w:pStyle w:val="TOC2"/>
            <w:tabs>
              <w:tab w:val="right" w:leader="dot" w:pos="9854"/>
            </w:tabs>
            <w:rPr>
              <w:rFonts w:asciiTheme="minorHAnsi" w:eastAsiaTheme="minorEastAsia" w:hAnsiTheme="minorHAnsi"/>
              <w:noProof/>
              <w:lang w:eastAsia="en-AU"/>
            </w:rPr>
          </w:pPr>
          <w:hyperlink w:anchor="_Toc494984639" w:history="1">
            <w:r w:rsidR="002F0A6A" w:rsidRPr="000F5DD6">
              <w:rPr>
                <w:rStyle w:val="Hyperlink"/>
                <w:noProof/>
              </w:rPr>
              <w:t>Information Technology</w:t>
            </w:r>
            <w:r w:rsidR="002F0A6A">
              <w:rPr>
                <w:noProof/>
                <w:webHidden/>
              </w:rPr>
              <w:tab/>
            </w:r>
            <w:r w:rsidR="002F0A6A">
              <w:rPr>
                <w:noProof/>
                <w:webHidden/>
              </w:rPr>
              <w:fldChar w:fldCharType="begin"/>
            </w:r>
            <w:r w:rsidR="002F0A6A">
              <w:rPr>
                <w:noProof/>
                <w:webHidden/>
              </w:rPr>
              <w:instrText xml:space="preserve"> PAGEREF _Toc494984639 \h </w:instrText>
            </w:r>
            <w:r w:rsidR="002F0A6A">
              <w:rPr>
                <w:noProof/>
                <w:webHidden/>
              </w:rPr>
            </w:r>
            <w:r w:rsidR="002F0A6A">
              <w:rPr>
                <w:noProof/>
                <w:webHidden/>
              </w:rPr>
              <w:fldChar w:fldCharType="separate"/>
            </w:r>
            <w:r w:rsidR="002F0A6A">
              <w:rPr>
                <w:noProof/>
                <w:webHidden/>
              </w:rPr>
              <w:t>53</w:t>
            </w:r>
            <w:r w:rsidR="002F0A6A">
              <w:rPr>
                <w:noProof/>
                <w:webHidden/>
              </w:rPr>
              <w:fldChar w:fldCharType="end"/>
            </w:r>
          </w:hyperlink>
        </w:p>
        <w:p w14:paraId="5820F595" w14:textId="66797E0A" w:rsidR="002F0A6A" w:rsidRDefault="00455FE3">
          <w:pPr>
            <w:pStyle w:val="TOC2"/>
            <w:tabs>
              <w:tab w:val="right" w:leader="dot" w:pos="9854"/>
            </w:tabs>
            <w:rPr>
              <w:rFonts w:asciiTheme="minorHAnsi" w:eastAsiaTheme="minorEastAsia" w:hAnsiTheme="minorHAnsi"/>
              <w:noProof/>
              <w:lang w:eastAsia="en-AU"/>
            </w:rPr>
          </w:pPr>
          <w:hyperlink w:anchor="_Toc494984640" w:history="1">
            <w:r w:rsidR="002F0A6A" w:rsidRPr="000F5DD6">
              <w:rPr>
                <w:rStyle w:val="Hyperlink"/>
                <w:noProof/>
              </w:rPr>
              <w:t>External Reviews</w:t>
            </w:r>
            <w:r w:rsidR="002F0A6A">
              <w:rPr>
                <w:noProof/>
                <w:webHidden/>
              </w:rPr>
              <w:tab/>
            </w:r>
            <w:r w:rsidR="002F0A6A">
              <w:rPr>
                <w:noProof/>
                <w:webHidden/>
              </w:rPr>
              <w:fldChar w:fldCharType="begin"/>
            </w:r>
            <w:r w:rsidR="002F0A6A">
              <w:rPr>
                <w:noProof/>
                <w:webHidden/>
              </w:rPr>
              <w:instrText xml:space="preserve"> PAGEREF _Toc494984640 \h </w:instrText>
            </w:r>
            <w:r w:rsidR="002F0A6A">
              <w:rPr>
                <w:noProof/>
                <w:webHidden/>
              </w:rPr>
            </w:r>
            <w:r w:rsidR="002F0A6A">
              <w:rPr>
                <w:noProof/>
                <w:webHidden/>
              </w:rPr>
              <w:fldChar w:fldCharType="separate"/>
            </w:r>
            <w:r w:rsidR="002F0A6A">
              <w:rPr>
                <w:noProof/>
                <w:webHidden/>
              </w:rPr>
              <w:t>55</w:t>
            </w:r>
            <w:r w:rsidR="002F0A6A">
              <w:rPr>
                <w:noProof/>
                <w:webHidden/>
              </w:rPr>
              <w:fldChar w:fldCharType="end"/>
            </w:r>
          </w:hyperlink>
        </w:p>
        <w:p w14:paraId="037A3CC2" w14:textId="3276980B" w:rsidR="002F0A6A" w:rsidRDefault="00455FE3">
          <w:pPr>
            <w:pStyle w:val="TOC2"/>
            <w:tabs>
              <w:tab w:val="right" w:leader="dot" w:pos="9854"/>
            </w:tabs>
            <w:rPr>
              <w:rFonts w:asciiTheme="minorHAnsi" w:eastAsiaTheme="minorEastAsia" w:hAnsiTheme="minorHAnsi"/>
              <w:noProof/>
              <w:lang w:eastAsia="en-AU"/>
            </w:rPr>
          </w:pPr>
          <w:hyperlink w:anchor="_Toc494984641" w:history="1">
            <w:r w:rsidR="002F0A6A" w:rsidRPr="000F5DD6">
              <w:rPr>
                <w:rStyle w:val="Hyperlink"/>
                <w:noProof/>
              </w:rPr>
              <w:t>Whole-of-Government Plans and Specific Initiatives</w:t>
            </w:r>
            <w:r w:rsidR="002F0A6A">
              <w:rPr>
                <w:noProof/>
                <w:webHidden/>
              </w:rPr>
              <w:tab/>
            </w:r>
            <w:r w:rsidR="002F0A6A">
              <w:rPr>
                <w:noProof/>
                <w:webHidden/>
              </w:rPr>
              <w:fldChar w:fldCharType="begin"/>
            </w:r>
            <w:r w:rsidR="002F0A6A">
              <w:rPr>
                <w:noProof/>
                <w:webHidden/>
              </w:rPr>
              <w:instrText xml:space="preserve"> PAGEREF _Toc494984641 \h </w:instrText>
            </w:r>
            <w:r w:rsidR="002F0A6A">
              <w:rPr>
                <w:noProof/>
                <w:webHidden/>
              </w:rPr>
            </w:r>
            <w:r w:rsidR="002F0A6A">
              <w:rPr>
                <w:noProof/>
                <w:webHidden/>
              </w:rPr>
              <w:fldChar w:fldCharType="separate"/>
            </w:r>
            <w:r w:rsidR="002F0A6A">
              <w:rPr>
                <w:noProof/>
                <w:webHidden/>
              </w:rPr>
              <w:t>56</w:t>
            </w:r>
            <w:r w:rsidR="002F0A6A">
              <w:rPr>
                <w:noProof/>
                <w:webHidden/>
              </w:rPr>
              <w:fldChar w:fldCharType="end"/>
            </w:r>
          </w:hyperlink>
        </w:p>
        <w:p w14:paraId="037999F9" w14:textId="15B13CDC" w:rsidR="002F0A6A" w:rsidRDefault="00455FE3">
          <w:pPr>
            <w:pStyle w:val="TOC2"/>
            <w:tabs>
              <w:tab w:val="right" w:leader="dot" w:pos="9854"/>
            </w:tabs>
            <w:rPr>
              <w:rFonts w:asciiTheme="minorHAnsi" w:eastAsiaTheme="minorEastAsia" w:hAnsiTheme="minorHAnsi"/>
              <w:noProof/>
              <w:lang w:eastAsia="en-AU"/>
            </w:rPr>
          </w:pPr>
          <w:hyperlink w:anchor="_Toc494984642" w:history="1">
            <w:r w:rsidR="002F0A6A" w:rsidRPr="000F5DD6">
              <w:rPr>
                <w:rStyle w:val="Hyperlink"/>
                <w:noProof/>
              </w:rPr>
              <w:t>National Agreements and National</w:t>
            </w:r>
            <w:r w:rsidR="002F0A6A" w:rsidRPr="000F5DD6">
              <w:rPr>
                <w:rStyle w:val="Hyperlink"/>
                <w:rFonts w:asciiTheme="majorHAnsi" w:hAnsiTheme="majorHAnsi" w:cs="MetaBoldLF-Roman"/>
                <w:noProof/>
              </w:rPr>
              <w:t xml:space="preserve"> </w:t>
            </w:r>
            <w:r w:rsidR="002F0A6A" w:rsidRPr="000F5DD6">
              <w:rPr>
                <w:rStyle w:val="Hyperlink"/>
                <w:noProof/>
              </w:rPr>
              <w:t>Partnership Agreements</w:t>
            </w:r>
            <w:r w:rsidR="002F0A6A">
              <w:rPr>
                <w:noProof/>
                <w:webHidden/>
              </w:rPr>
              <w:tab/>
            </w:r>
            <w:r w:rsidR="002F0A6A">
              <w:rPr>
                <w:noProof/>
                <w:webHidden/>
              </w:rPr>
              <w:fldChar w:fldCharType="begin"/>
            </w:r>
            <w:r w:rsidR="002F0A6A">
              <w:rPr>
                <w:noProof/>
                <w:webHidden/>
              </w:rPr>
              <w:instrText xml:space="preserve"> PAGEREF _Toc494984642 \h </w:instrText>
            </w:r>
            <w:r w:rsidR="002F0A6A">
              <w:rPr>
                <w:noProof/>
                <w:webHidden/>
              </w:rPr>
            </w:r>
            <w:r w:rsidR="002F0A6A">
              <w:rPr>
                <w:noProof/>
                <w:webHidden/>
              </w:rPr>
              <w:fldChar w:fldCharType="separate"/>
            </w:r>
            <w:r w:rsidR="002F0A6A">
              <w:rPr>
                <w:noProof/>
                <w:webHidden/>
              </w:rPr>
              <w:t>57</w:t>
            </w:r>
            <w:r w:rsidR="002F0A6A">
              <w:rPr>
                <w:noProof/>
                <w:webHidden/>
              </w:rPr>
              <w:fldChar w:fldCharType="end"/>
            </w:r>
          </w:hyperlink>
        </w:p>
        <w:p w14:paraId="6B14A179" w14:textId="5917BB09" w:rsidR="002F0A6A" w:rsidRDefault="00455FE3">
          <w:pPr>
            <w:pStyle w:val="TOC1"/>
            <w:rPr>
              <w:rFonts w:asciiTheme="minorHAnsi" w:eastAsiaTheme="minorEastAsia" w:hAnsiTheme="minorHAnsi"/>
              <w:noProof/>
              <w:lang w:eastAsia="en-AU"/>
            </w:rPr>
          </w:pPr>
          <w:hyperlink w:anchor="_Toc494984643" w:history="1">
            <w:r w:rsidR="002F0A6A" w:rsidRPr="000F5DD6">
              <w:rPr>
                <w:rStyle w:val="Hyperlink"/>
                <w:noProof/>
              </w:rPr>
              <w:t>Our People</w:t>
            </w:r>
            <w:r w:rsidR="002F0A6A">
              <w:rPr>
                <w:noProof/>
                <w:webHidden/>
              </w:rPr>
              <w:tab/>
            </w:r>
            <w:r w:rsidR="002F0A6A">
              <w:rPr>
                <w:noProof/>
                <w:webHidden/>
              </w:rPr>
              <w:fldChar w:fldCharType="begin"/>
            </w:r>
            <w:r w:rsidR="002F0A6A">
              <w:rPr>
                <w:noProof/>
                <w:webHidden/>
              </w:rPr>
              <w:instrText xml:space="preserve"> PAGEREF _Toc494984643 \h </w:instrText>
            </w:r>
            <w:r w:rsidR="002F0A6A">
              <w:rPr>
                <w:noProof/>
                <w:webHidden/>
              </w:rPr>
            </w:r>
            <w:r w:rsidR="002F0A6A">
              <w:rPr>
                <w:noProof/>
                <w:webHidden/>
              </w:rPr>
              <w:fldChar w:fldCharType="separate"/>
            </w:r>
            <w:r w:rsidR="002F0A6A">
              <w:rPr>
                <w:noProof/>
                <w:webHidden/>
              </w:rPr>
              <w:t>58</w:t>
            </w:r>
            <w:r w:rsidR="002F0A6A">
              <w:rPr>
                <w:noProof/>
                <w:webHidden/>
              </w:rPr>
              <w:fldChar w:fldCharType="end"/>
            </w:r>
          </w:hyperlink>
        </w:p>
        <w:p w14:paraId="11838BC2" w14:textId="58DEA991" w:rsidR="002F0A6A" w:rsidRDefault="00455FE3">
          <w:pPr>
            <w:pStyle w:val="TOC2"/>
            <w:tabs>
              <w:tab w:val="right" w:leader="dot" w:pos="9854"/>
            </w:tabs>
            <w:rPr>
              <w:rFonts w:asciiTheme="minorHAnsi" w:eastAsiaTheme="minorEastAsia" w:hAnsiTheme="minorHAnsi"/>
              <w:noProof/>
              <w:lang w:eastAsia="en-AU"/>
            </w:rPr>
          </w:pPr>
          <w:hyperlink w:anchor="_Toc494984644" w:history="1">
            <w:r w:rsidR="002F0A6A" w:rsidRPr="000F5DD6">
              <w:rPr>
                <w:rStyle w:val="Hyperlink"/>
                <w:noProof/>
              </w:rPr>
              <w:t>Workforce Profile</w:t>
            </w:r>
            <w:r w:rsidR="002F0A6A">
              <w:rPr>
                <w:noProof/>
                <w:webHidden/>
              </w:rPr>
              <w:tab/>
            </w:r>
            <w:r w:rsidR="002F0A6A">
              <w:rPr>
                <w:noProof/>
                <w:webHidden/>
              </w:rPr>
              <w:fldChar w:fldCharType="begin"/>
            </w:r>
            <w:r w:rsidR="002F0A6A">
              <w:rPr>
                <w:noProof/>
                <w:webHidden/>
              </w:rPr>
              <w:instrText xml:space="preserve"> PAGEREF _Toc494984644 \h </w:instrText>
            </w:r>
            <w:r w:rsidR="002F0A6A">
              <w:rPr>
                <w:noProof/>
                <w:webHidden/>
              </w:rPr>
            </w:r>
            <w:r w:rsidR="002F0A6A">
              <w:rPr>
                <w:noProof/>
                <w:webHidden/>
              </w:rPr>
              <w:fldChar w:fldCharType="separate"/>
            </w:r>
            <w:r w:rsidR="002F0A6A">
              <w:rPr>
                <w:noProof/>
                <w:webHidden/>
              </w:rPr>
              <w:t>58</w:t>
            </w:r>
            <w:r w:rsidR="002F0A6A">
              <w:rPr>
                <w:noProof/>
                <w:webHidden/>
              </w:rPr>
              <w:fldChar w:fldCharType="end"/>
            </w:r>
          </w:hyperlink>
        </w:p>
        <w:p w14:paraId="7E953B0F" w14:textId="2E9EA286" w:rsidR="002F0A6A" w:rsidRDefault="00455FE3">
          <w:pPr>
            <w:pStyle w:val="TOC2"/>
            <w:tabs>
              <w:tab w:val="right" w:leader="dot" w:pos="9854"/>
            </w:tabs>
            <w:rPr>
              <w:rFonts w:asciiTheme="minorHAnsi" w:eastAsiaTheme="minorEastAsia" w:hAnsiTheme="minorHAnsi"/>
              <w:noProof/>
              <w:lang w:eastAsia="en-AU"/>
            </w:rPr>
          </w:pPr>
          <w:hyperlink w:anchor="_Toc494984645" w:history="1">
            <w:r w:rsidR="002F0A6A" w:rsidRPr="000F5DD6">
              <w:rPr>
                <w:rStyle w:val="Hyperlink"/>
                <w:noProof/>
                <w:lang w:val="en-US"/>
              </w:rPr>
              <w:t>Workforce Planning</w:t>
            </w:r>
            <w:r w:rsidR="002F0A6A">
              <w:rPr>
                <w:noProof/>
                <w:webHidden/>
              </w:rPr>
              <w:tab/>
            </w:r>
            <w:r w:rsidR="002F0A6A">
              <w:rPr>
                <w:noProof/>
                <w:webHidden/>
              </w:rPr>
              <w:fldChar w:fldCharType="begin"/>
            </w:r>
            <w:r w:rsidR="002F0A6A">
              <w:rPr>
                <w:noProof/>
                <w:webHidden/>
              </w:rPr>
              <w:instrText xml:space="preserve"> PAGEREF _Toc494984645 \h </w:instrText>
            </w:r>
            <w:r w:rsidR="002F0A6A">
              <w:rPr>
                <w:noProof/>
                <w:webHidden/>
              </w:rPr>
            </w:r>
            <w:r w:rsidR="002F0A6A">
              <w:rPr>
                <w:noProof/>
                <w:webHidden/>
              </w:rPr>
              <w:fldChar w:fldCharType="separate"/>
            </w:r>
            <w:r w:rsidR="002F0A6A">
              <w:rPr>
                <w:noProof/>
                <w:webHidden/>
              </w:rPr>
              <w:t>59</w:t>
            </w:r>
            <w:r w:rsidR="002F0A6A">
              <w:rPr>
                <w:noProof/>
                <w:webHidden/>
              </w:rPr>
              <w:fldChar w:fldCharType="end"/>
            </w:r>
          </w:hyperlink>
        </w:p>
        <w:p w14:paraId="3E07A762" w14:textId="3742825A" w:rsidR="002F0A6A" w:rsidRDefault="00455FE3">
          <w:pPr>
            <w:pStyle w:val="TOC1"/>
            <w:rPr>
              <w:rFonts w:asciiTheme="minorHAnsi" w:eastAsiaTheme="minorEastAsia" w:hAnsiTheme="minorHAnsi"/>
              <w:noProof/>
              <w:lang w:eastAsia="en-AU"/>
            </w:rPr>
          </w:pPr>
          <w:hyperlink w:anchor="_Toc494984646" w:history="1">
            <w:r w:rsidR="002F0A6A" w:rsidRPr="000F5DD6">
              <w:rPr>
                <w:rStyle w:val="Hyperlink"/>
                <w:noProof/>
              </w:rPr>
              <w:t>Legislation Administered by the Minister for Housing and Public Works as at 30 June 2017</w:t>
            </w:r>
            <w:r w:rsidR="002F0A6A">
              <w:rPr>
                <w:noProof/>
                <w:webHidden/>
              </w:rPr>
              <w:tab/>
            </w:r>
            <w:r w:rsidR="002F0A6A">
              <w:rPr>
                <w:noProof/>
                <w:webHidden/>
              </w:rPr>
              <w:fldChar w:fldCharType="begin"/>
            </w:r>
            <w:r w:rsidR="002F0A6A">
              <w:rPr>
                <w:noProof/>
                <w:webHidden/>
              </w:rPr>
              <w:instrText xml:space="preserve"> PAGEREF _Toc494984646 \h </w:instrText>
            </w:r>
            <w:r w:rsidR="002F0A6A">
              <w:rPr>
                <w:noProof/>
                <w:webHidden/>
              </w:rPr>
            </w:r>
            <w:r w:rsidR="002F0A6A">
              <w:rPr>
                <w:noProof/>
                <w:webHidden/>
              </w:rPr>
              <w:fldChar w:fldCharType="separate"/>
            </w:r>
            <w:r w:rsidR="002F0A6A">
              <w:rPr>
                <w:noProof/>
                <w:webHidden/>
              </w:rPr>
              <w:t>64</w:t>
            </w:r>
            <w:r w:rsidR="002F0A6A">
              <w:rPr>
                <w:noProof/>
                <w:webHidden/>
              </w:rPr>
              <w:fldChar w:fldCharType="end"/>
            </w:r>
          </w:hyperlink>
        </w:p>
        <w:p w14:paraId="46AD3B09" w14:textId="4348E496" w:rsidR="002F0A6A" w:rsidRDefault="00455FE3">
          <w:pPr>
            <w:pStyle w:val="TOC1"/>
            <w:rPr>
              <w:rFonts w:asciiTheme="minorHAnsi" w:eastAsiaTheme="minorEastAsia" w:hAnsiTheme="minorHAnsi"/>
              <w:noProof/>
              <w:lang w:eastAsia="en-AU"/>
            </w:rPr>
          </w:pPr>
          <w:hyperlink w:anchor="_Toc494984647" w:history="1">
            <w:r w:rsidR="002F0A6A" w:rsidRPr="000F5DD6">
              <w:rPr>
                <w:rStyle w:val="Hyperlink"/>
                <w:noProof/>
              </w:rPr>
              <w:t>Government Bodies</w:t>
            </w:r>
            <w:r w:rsidR="002F0A6A">
              <w:rPr>
                <w:noProof/>
                <w:webHidden/>
              </w:rPr>
              <w:tab/>
            </w:r>
            <w:r w:rsidR="002F0A6A">
              <w:rPr>
                <w:noProof/>
                <w:webHidden/>
              </w:rPr>
              <w:fldChar w:fldCharType="begin"/>
            </w:r>
            <w:r w:rsidR="002F0A6A">
              <w:rPr>
                <w:noProof/>
                <w:webHidden/>
              </w:rPr>
              <w:instrText xml:space="preserve"> PAGEREF _Toc494984647 \h </w:instrText>
            </w:r>
            <w:r w:rsidR="002F0A6A">
              <w:rPr>
                <w:noProof/>
                <w:webHidden/>
              </w:rPr>
            </w:r>
            <w:r w:rsidR="002F0A6A">
              <w:rPr>
                <w:noProof/>
                <w:webHidden/>
              </w:rPr>
              <w:fldChar w:fldCharType="separate"/>
            </w:r>
            <w:r w:rsidR="002F0A6A">
              <w:rPr>
                <w:noProof/>
                <w:webHidden/>
              </w:rPr>
              <w:t>67</w:t>
            </w:r>
            <w:r w:rsidR="002F0A6A">
              <w:rPr>
                <w:noProof/>
                <w:webHidden/>
              </w:rPr>
              <w:fldChar w:fldCharType="end"/>
            </w:r>
          </w:hyperlink>
        </w:p>
        <w:p w14:paraId="7EBE9957" w14:textId="44D0D096" w:rsidR="002F0A6A" w:rsidRDefault="00455FE3">
          <w:pPr>
            <w:pStyle w:val="TOC1"/>
            <w:rPr>
              <w:rFonts w:asciiTheme="minorHAnsi" w:eastAsiaTheme="minorEastAsia" w:hAnsiTheme="minorHAnsi"/>
              <w:noProof/>
              <w:lang w:eastAsia="en-AU"/>
            </w:rPr>
          </w:pPr>
          <w:hyperlink w:anchor="_Toc494984648" w:history="1">
            <w:r w:rsidR="002F0A6A" w:rsidRPr="000F5DD6">
              <w:rPr>
                <w:rStyle w:val="Hyperlink"/>
                <w:noProof/>
              </w:rPr>
              <w:t>Open Data</w:t>
            </w:r>
            <w:r w:rsidR="002F0A6A">
              <w:rPr>
                <w:noProof/>
                <w:webHidden/>
              </w:rPr>
              <w:tab/>
            </w:r>
            <w:r w:rsidR="002F0A6A">
              <w:rPr>
                <w:noProof/>
                <w:webHidden/>
              </w:rPr>
              <w:fldChar w:fldCharType="begin"/>
            </w:r>
            <w:r w:rsidR="002F0A6A">
              <w:rPr>
                <w:noProof/>
                <w:webHidden/>
              </w:rPr>
              <w:instrText xml:space="preserve"> PAGEREF _Toc494984648 \h </w:instrText>
            </w:r>
            <w:r w:rsidR="002F0A6A">
              <w:rPr>
                <w:noProof/>
                <w:webHidden/>
              </w:rPr>
            </w:r>
            <w:r w:rsidR="002F0A6A">
              <w:rPr>
                <w:noProof/>
                <w:webHidden/>
              </w:rPr>
              <w:fldChar w:fldCharType="separate"/>
            </w:r>
            <w:r w:rsidR="002F0A6A">
              <w:rPr>
                <w:noProof/>
                <w:webHidden/>
              </w:rPr>
              <w:t>68</w:t>
            </w:r>
            <w:r w:rsidR="002F0A6A">
              <w:rPr>
                <w:noProof/>
                <w:webHidden/>
              </w:rPr>
              <w:fldChar w:fldCharType="end"/>
            </w:r>
          </w:hyperlink>
        </w:p>
        <w:p w14:paraId="710D8CF9" w14:textId="47F32CE4" w:rsidR="002F0A6A" w:rsidRDefault="00455FE3">
          <w:pPr>
            <w:pStyle w:val="TOC2"/>
            <w:tabs>
              <w:tab w:val="right" w:leader="dot" w:pos="9854"/>
            </w:tabs>
            <w:rPr>
              <w:rFonts w:asciiTheme="minorHAnsi" w:eastAsiaTheme="minorEastAsia" w:hAnsiTheme="minorHAnsi"/>
              <w:noProof/>
              <w:lang w:eastAsia="en-AU"/>
            </w:rPr>
          </w:pPr>
          <w:hyperlink w:anchor="_Toc494984649" w:history="1">
            <w:r w:rsidR="002F0A6A" w:rsidRPr="000F5DD6">
              <w:rPr>
                <w:rStyle w:val="Hyperlink"/>
                <w:noProof/>
              </w:rPr>
              <w:t>Overseas Travel</w:t>
            </w:r>
            <w:r w:rsidR="002F0A6A">
              <w:rPr>
                <w:noProof/>
                <w:webHidden/>
              </w:rPr>
              <w:tab/>
            </w:r>
            <w:r w:rsidR="002F0A6A">
              <w:rPr>
                <w:noProof/>
                <w:webHidden/>
              </w:rPr>
              <w:fldChar w:fldCharType="begin"/>
            </w:r>
            <w:r w:rsidR="002F0A6A">
              <w:rPr>
                <w:noProof/>
                <w:webHidden/>
              </w:rPr>
              <w:instrText xml:space="preserve"> PAGEREF _Toc494984649 \h </w:instrText>
            </w:r>
            <w:r w:rsidR="002F0A6A">
              <w:rPr>
                <w:noProof/>
                <w:webHidden/>
              </w:rPr>
            </w:r>
            <w:r w:rsidR="002F0A6A">
              <w:rPr>
                <w:noProof/>
                <w:webHidden/>
              </w:rPr>
              <w:fldChar w:fldCharType="separate"/>
            </w:r>
            <w:r w:rsidR="002F0A6A">
              <w:rPr>
                <w:noProof/>
                <w:webHidden/>
              </w:rPr>
              <w:t>68</w:t>
            </w:r>
            <w:r w:rsidR="002F0A6A">
              <w:rPr>
                <w:noProof/>
                <w:webHidden/>
              </w:rPr>
              <w:fldChar w:fldCharType="end"/>
            </w:r>
          </w:hyperlink>
        </w:p>
        <w:p w14:paraId="2FE61BBA" w14:textId="27A50943" w:rsidR="002F0A6A" w:rsidRDefault="00455FE3">
          <w:pPr>
            <w:pStyle w:val="TOC2"/>
            <w:tabs>
              <w:tab w:val="right" w:leader="dot" w:pos="9854"/>
            </w:tabs>
            <w:rPr>
              <w:rFonts w:asciiTheme="minorHAnsi" w:eastAsiaTheme="minorEastAsia" w:hAnsiTheme="minorHAnsi"/>
              <w:noProof/>
              <w:lang w:eastAsia="en-AU"/>
            </w:rPr>
          </w:pPr>
          <w:hyperlink w:anchor="_Toc494984650" w:history="1">
            <w:r w:rsidR="002F0A6A" w:rsidRPr="000F5DD6">
              <w:rPr>
                <w:rStyle w:val="Hyperlink"/>
                <w:noProof/>
              </w:rPr>
              <w:t>Consultancies</w:t>
            </w:r>
            <w:r w:rsidR="002F0A6A">
              <w:rPr>
                <w:noProof/>
                <w:webHidden/>
              </w:rPr>
              <w:tab/>
            </w:r>
            <w:r w:rsidR="002F0A6A">
              <w:rPr>
                <w:noProof/>
                <w:webHidden/>
              </w:rPr>
              <w:fldChar w:fldCharType="begin"/>
            </w:r>
            <w:r w:rsidR="002F0A6A">
              <w:rPr>
                <w:noProof/>
                <w:webHidden/>
              </w:rPr>
              <w:instrText xml:space="preserve"> PAGEREF _Toc494984650 \h </w:instrText>
            </w:r>
            <w:r w:rsidR="002F0A6A">
              <w:rPr>
                <w:noProof/>
                <w:webHidden/>
              </w:rPr>
            </w:r>
            <w:r w:rsidR="002F0A6A">
              <w:rPr>
                <w:noProof/>
                <w:webHidden/>
              </w:rPr>
              <w:fldChar w:fldCharType="separate"/>
            </w:r>
            <w:r w:rsidR="002F0A6A">
              <w:rPr>
                <w:noProof/>
                <w:webHidden/>
              </w:rPr>
              <w:t>68</w:t>
            </w:r>
            <w:r w:rsidR="002F0A6A">
              <w:rPr>
                <w:noProof/>
                <w:webHidden/>
              </w:rPr>
              <w:fldChar w:fldCharType="end"/>
            </w:r>
          </w:hyperlink>
        </w:p>
        <w:p w14:paraId="29C27E5F" w14:textId="363BC3DE" w:rsidR="002F0A6A" w:rsidRDefault="00455FE3">
          <w:pPr>
            <w:pStyle w:val="TOC2"/>
            <w:tabs>
              <w:tab w:val="right" w:leader="dot" w:pos="9854"/>
            </w:tabs>
            <w:rPr>
              <w:rFonts w:asciiTheme="minorHAnsi" w:eastAsiaTheme="minorEastAsia" w:hAnsiTheme="minorHAnsi"/>
              <w:noProof/>
              <w:lang w:eastAsia="en-AU"/>
            </w:rPr>
          </w:pPr>
          <w:hyperlink w:anchor="_Toc494984651" w:history="1">
            <w:r w:rsidR="002F0A6A" w:rsidRPr="000F5DD6">
              <w:rPr>
                <w:rStyle w:val="Hyperlink"/>
                <w:rFonts w:cs="MetaBoldLF-Roman"/>
                <w:noProof/>
              </w:rPr>
              <w:t>Queensland Languages Service Policy</w:t>
            </w:r>
            <w:r w:rsidR="002F0A6A">
              <w:rPr>
                <w:noProof/>
                <w:webHidden/>
              </w:rPr>
              <w:tab/>
            </w:r>
            <w:r w:rsidR="002F0A6A">
              <w:rPr>
                <w:noProof/>
                <w:webHidden/>
              </w:rPr>
              <w:fldChar w:fldCharType="begin"/>
            </w:r>
            <w:r w:rsidR="002F0A6A">
              <w:rPr>
                <w:noProof/>
                <w:webHidden/>
              </w:rPr>
              <w:instrText xml:space="preserve"> PAGEREF _Toc494984651 \h </w:instrText>
            </w:r>
            <w:r w:rsidR="002F0A6A">
              <w:rPr>
                <w:noProof/>
                <w:webHidden/>
              </w:rPr>
            </w:r>
            <w:r w:rsidR="002F0A6A">
              <w:rPr>
                <w:noProof/>
                <w:webHidden/>
              </w:rPr>
              <w:fldChar w:fldCharType="separate"/>
            </w:r>
            <w:r w:rsidR="002F0A6A">
              <w:rPr>
                <w:noProof/>
                <w:webHidden/>
              </w:rPr>
              <w:t>69</w:t>
            </w:r>
            <w:r w:rsidR="002F0A6A">
              <w:rPr>
                <w:noProof/>
                <w:webHidden/>
              </w:rPr>
              <w:fldChar w:fldCharType="end"/>
            </w:r>
          </w:hyperlink>
        </w:p>
        <w:p w14:paraId="2576C726" w14:textId="0FEEC603" w:rsidR="002F0A6A" w:rsidRDefault="00455FE3">
          <w:pPr>
            <w:pStyle w:val="TOC1"/>
            <w:rPr>
              <w:rFonts w:asciiTheme="minorHAnsi" w:eastAsiaTheme="minorEastAsia" w:hAnsiTheme="minorHAnsi"/>
              <w:noProof/>
              <w:lang w:eastAsia="en-AU"/>
            </w:rPr>
          </w:pPr>
          <w:hyperlink w:anchor="_Toc494984652" w:history="1">
            <w:r w:rsidR="002F0A6A" w:rsidRPr="000F5DD6">
              <w:rPr>
                <w:rStyle w:val="Hyperlink"/>
                <w:noProof/>
              </w:rPr>
              <w:t>Service Centre Locations</w:t>
            </w:r>
            <w:r w:rsidR="002F0A6A">
              <w:rPr>
                <w:noProof/>
                <w:webHidden/>
              </w:rPr>
              <w:tab/>
            </w:r>
            <w:r w:rsidR="002F0A6A">
              <w:rPr>
                <w:noProof/>
                <w:webHidden/>
              </w:rPr>
              <w:fldChar w:fldCharType="begin"/>
            </w:r>
            <w:r w:rsidR="002F0A6A">
              <w:rPr>
                <w:noProof/>
                <w:webHidden/>
              </w:rPr>
              <w:instrText xml:space="preserve"> PAGEREF _Toc494984652 \h </w:instrText>
            </w:r>
            <w:r w:rsidR="002F0A6A">
              <w:rPr>
                <w:noProof/>
                <w:webHidden/>
              </w:rPr>
            </w:r>
            <w:r w:rsidR="002F0A6A">
              <w:rPr>
                <w:noProof/>
                <w:webHidden/>
              </w:rPr>
              <w:fldChar w:fldCharType="separate"/>
            </w:r>
            <w:r w:rsidR="002F0A6A">
              <w:rPr>
                <w:noProof/>
                <w:webHidden/>
              </w:rPr>
              <w:t>70</w:t>
            </w:r>
            <w:r w:rsidR="002F0A6A">
              <w:rPr>
                <w:noProof/>
                <w:webHidden/>
              </w:rPr>
              <w:fldChar w:fldCharType="end"/>
            </w:r>
          </w:hyperlink>
        </w:p>
        <w:p w14:paraId="58C2BEF7" w14:textId="35F3C912" w:rsidR="002F0A6A" w:rsidRDefault="00455FE3">
          <w:pPr>
            <w:pStyle w:val="TOC2"/>
            <w:tabs>
              <w:tab w:val="right" w:leader="dot" w:pos="9854"/>
            </w:tabs>
            <w:rPr>
              <w:rFonts w:asciiTheme="minorHAnsi" w:eastAsiaTheme="minorEastAsia" w:hAnsiTheme="minorHAnsi"/>
              <w:noProof/>
              <w:lang w:eastAsia="en-AU"/>
            </w:rPr>
          </w:pPr>
          <w:hyperlink w:anchor="_Toc494984653" w:history="1">
            <w:r w:rsidR="002F0A6A" w:rsidRPr="000F5DD6">
              <w:rPr>
                <w:rStyle w:val="Hyperlink"/>
                <w:noProof/>
              </w:rPr>
              <w:t>Department of Housing and Public Works</w:t>
            </w:r>
            <w:r w:rsidR="002F0A6A">
              <w:rPr>
                <w:noProof/>
                <w:webHidden/>
              </w:rPr>
              <w:tab/>
            </w:r>
            <w:r w:rsidR="002F0A6A">
              <w:rPr>
                <w:noProof/>
                <w:webHidden/>
              </w:rPr>
              <w:fldChar w:fldCharType="begin"/>
            </w:r>
            <w:r w:rsidR="002F0A6A">
              <w:rPr>
                <w:noProof/>
                <w:webHidden/>
              </w:rPr>
              <w:instrText xml:space="preserve"> PAGEREF _Toc494984653 \h </w:instrText>
            </w:r>
            <w:r w:rsidR="002F0A6A">
              <w:rPr>
                <w:noProof/>
                <w:webHidden/>
              </w:rPr>
            </w:r>
            <w:r w:rsidR="002F0A6A">
              <w:rPr>
                <w:noProof/>
                <w:webHidden/>
              </w:rPr>
              <w:fldChar w:fldCharType="separate"/>
            </w:r>
            <w:r w:rsidR="002F0A6A">
              <w:rPr>
                <w:noProof/>
                <w:webHidden/>
              </w:rPr>
              <w:t>70</w:t>
            </w:r>
            <w:r w:rsidR="002F0A6A">
              <w:rPr>
                <w:noProof/>
                <w:webHidden/>
              </w:rPr>
              <w:fldChar w:fldCharType="end"/>
            </w:r>
          </w:hyperlink>
        </w:p>
        <w:p w14:paraId="4224F27B" w14:textId="61DD3282" w:rsidR="002F0A6A" w:rsidRDefault="00455FE3">
          <w:pPr>
            <w:pStyle w:val="TOC2"/>
            <w:tabs>
              <w:tab w:val="right" w:leader="dot" w:pos="9854"/>
            </w:tabs>
            <w:rPr>
              <w:rFonts w:asciiTheme="minorHAnsi" w:eastAsiaTheme="minorEastAsia" w:hAnsiTheme="minorHAnsi"/>
              <w:noProof/>
              <w:lang w:eastAsia="en-AU"/>
            </w:rPr>
          </w:pPr>
          <w:hyperlink w:anchor="_Toc494984654" w:history="1">
            <w:r w:rsidR="002F0A6A" w:rsidRPr="000F5DD6">
              <w:rPr>
                <w:rStyle w:val="Hyperlink"/>
                <w:noProof/>
                <w:lang w:val="en-US" w:eastAsia="en-AU"/>
              </w:rPr>
              <w:t>Building and Asset Services Office Locations</w:t>
            </w:r>
            <w:r w:rsidR="002F0A6A">
              <w:rPr>
                <w:noProof/>
                <w:webHidden/>
              </w:rPr>
              <w:tab/>
            </w:r>
            <w:r w:rsidR="002F0A6A">
              <w:rPr>
                <w:noProof/>
                <w:webHidden/>
              </w:rPr>
              <w:fldChar w:fldCharType="begin"/>
            </w:r>
            <w:r w:rsidR="002F0A6A">
              <w:rPr>
                <w:noProof/>
                <w:webHidden/>
              </w:rPr>
              <w:instrText xml:space="preserve"> PAGEREF _Toc494984654 \h </w:instrText>
            </w:r>
            <w:r w:rsidR="002F0A6A">
              <w:rPr>
                <w:noProof/>
                <w:webHidden/>
              </w:rPr>
            </w:r>
            <w:r w:rsidR="002F0A6A">
              <w:rPr>
                <w:noProof/>
                <w:webHidden/>
              </w:rPr>
              <w:fldChar w:fldCharType="separate"/>
            </w:r>
            <w:r w:rsidR="002F0A6A">
              <w:rPr>
                <w:noProof/>
                <w:webHidden/>
              </w:rPr>
              <w:t>70</w:t>
            </w:r>
            <w:r w:rsidR="002F0A6A">
              <w:rPr>
                <w:noProof/>
                <w:webHidden/>
              </w:rPr>
              <w:fldChar w:fldCharType="end"/>
            </w:r>
          </w:hyperlink>
        </w:p>
        <w:p w14:paraId="1E772FFA" w14:textId="0BDD596D" w:rsidR="002F0A6A" w:rsidRDefault="00455FE3">
          <w:pPr>
            <w:pStyle w:val="TOC2"/>
            <w:tabs>
              <w:tab w:val="right" w:leader="dot" w:pos="9854"/>
            </w:tabs>
            <w:rPr>
              <w:rFonts w:asciiTheme="minorHAnsi" w:eastAsiaTheme="minorEastAsia" w:hAnsiTheme="minorHAnsi"/>
              <w:noProof/>
              <w:lang w:eastAsia="en-AU"/>
            </w:rPr>
          </w:pPr>
          <w:hyperlink w:anchor="_Toc494984655" w:history="1">
            <w:r w:rsidR="002F0A6A" w:rsidRPr="000F5DD6">
              <w:rPr>
                <w:rStyle w:val="Hyperlink"/>
                <w:noProof/>
              </w:rPr>
              <w:t>Housing Service Centres</w:t>
            </w:r>
            <w:r w:rsidR="002F0A6A">
              <w:rPr>
                <w:noProof/>
                <w:webHidden/>
              </w:rPr>
              <w:tab/>
            </w:r>
            <w:r w:rsidR="002F0A6A">
              <w:rPr>
                <w:noProof/>
                <w:webHidden/>
              </w:rPr>
              <w:fldChar w:fldCharType="begin"/>
            </w:r>
            <w:r w:rsidR="002F0A6A">
              <w:rPr>
                <w:noProof/>
                <w:webHidden/>
              </w:rPr>
              <w:instrText xml:space="preserve"> PAGEREF _Toc494984655 \h </w:instrText>
            </w:r>
            <w:r w:rsidR="002F0A6A">
              <w:rPr>
                <w:noProof/>
                <w:webHidden/>
              </w:rPr>
            </w:r>
            <w:r w:rsidR="002F0A6A">
              <w:rPr>
                <w:noProof/>
                <w:webHidden/>
              </w:rPr>
              <w:fldChar w:fldCharType="separate"/>
            </w:r>
            <w:r w:rsidR="002F0A6A">
              <w:rPr>
                <w:noProof/>
                <w:webHidden/>
              </w:rPr>
              <w:t>73</w:t>
            </w:r>
            <w:r w:rsidR="002F0A6A">
              <w:rPr>
                <w:noProof/>
                <w:webHidden/>
              </w:rPr>
              <w:fldChar w:fldCharType="end"/>
            </w:r>
          </w:hyperlink>
        </w:p>
        <w:p w14:paraId="5D7854BF" w14:textId="4290E59B" w:rsidR="002F0A6A" w:rsidRDefault="00455FE3">
          <w:pPr>
            <w:pStyle w:val="TOC2"/>
            <w:tabs>
              <w:tab w:val="right" w:leader="dot" w:pos="9854"/>
            </w:tabs>
            <w:rPr>
              <w:rFonts w:asciiTheme="minorHAnsi" w:eastAsiaTheme="minorEastAsia" w:hAnsiTheme="minorHAnsi"/>
              <w:noProof/>
              <w:lang w:eastAsia="en-AU"/>
            </w:rPr>
          </w:pPr>
          <w:hyperlink w:anchor="_Toc494984656" w:history="1">
            <w:r w:rsidR="002F0A6A" w:rsidRPr="000F5DD6">
              <w:rPr>
                <w:rStyle w:val="Hyperlink"/>
                <w:noProof/>
              </w:rPr>
              <w:t>Other Departmental Offices</w:t>
            </w:r>
            <w:r w:rsidR="002F0A6A">
              <w:rPr>
                <w:noProof/>
                <w:webHidden/>
              </w:rPr>
              <w:tab/>
            </w:r>
            <w:r w:rsidR="002F0A6A">
              <w:rPr>
                <w:noProof/>
                <w:webHidden/>
              </w:rPr>
              <w:fldChar w:fldCharType="begin"/>
            </w:r>
            <w:r w:rsidR="002F0A6A">
              <w:rPr>
                <w:noProof/>
                <w:webHidden/>
              </w:rPr>
              <w:instrText xml:space="preserve"> PAGEREF _Toc494984656 \h </w:instrText>
            </w:r>
            <w:r w:rsidR="002F0A6A">
              <w:rPr>
                <w:noProof/>
                <w:webHidden/>
              </w:rPr>
            </w:r>
            <w:r w:rsidR="002F0A6A">
              <w:rPr>
                <w:noProof/>
                <w:webHidden/>
              </w:rPr>
              <w:fldChar w:fldCharType="separate"/>
            </w:r>
            <w:r w:rsidR="002F0A6A">
              <w:rPr>
                <w:noProof/>
                <w:webHidden/>
              </w:rPr>
              <w:t>77</w:t>
            </w:r>
            <w:r w:rsidR="002F0A6A">
              <w:rPr>
                <w:noProof/>
                <w:webHidden/>
              </w:rPr>
              <w:fldChar w:fldCharType="end"/>
            </w:r>
          </w:hyperlink>
        </w:p>
        <w:p w14:paraId="6C5815CD" w14:textId="19619A90" w:rsidR="002F0A6A" w:rsidRDefault="00455FE3">
          <w:pPr>
            <w:pStyle w:val="TOC1"/>
            <w:rPr>
              <w:rFonts w:asciiTheme="minorHAnsi" w:eastAsiaTheme="minorEastAsia" w:hAnsiTheme="minorHAnsi"/>
              <w:noProof/>
              <w:lang w:eastAsia="en-AU"/>
            </w:rPr>
          </w:pPr>
          <w:hyperlink w:anchor="_Toc494984657" w:history="1">
            <w:r w:rsidR="002F0A6A" w:rsidRPr="000F5DD6">
              <w:rPr>
                <w:rStyle w:val="Hyperlink"/>
                <w:noProof/>
              </w:rPr>
              <w:t>Glossary of Terms</w:t>
            </w:r>
            <w:r w:rsidR="002F0A6A">
              <w:rPr>
                <w:noProof/>
                <w:webHidden/>
              </w:rPr>
              <w:tab/>
            </w:r>
            <w:r w:rsidR="002F0A6A">
              <w:rPr>
                <w:noProof/>
                <w:webHidden/>
              </w:rPr>
              <w:fldChar w:fldCharType="begin"/>
            </w:r>
            <w:r w:rsidR="002F0A6A">
              <w:rPr>
                <w:noProof/>
                <w:webHidden/>
              </w:rPr>
              <w:instrText xml:space="preserve"> PAGEREF _Toc494984657 \h </w:instrText>
            </w:r>
            <w:r w:rsidR="002F0A6A">
              <w:rPr>
                <w:noProof/>
                <w:webHidden/>
              </w:rPr>
            </w:r>
            <w:r w:rsidR="002F0A6A">
              <w:rPr>
                <w:noProof/>
                <w:webHidden/>
              </w:rPr>
              <w:fldChar w:fldCharType="separate"/>
            </w:r>
            <w:r w:rsidR="002F0A6A">
              <w:rPr>
                <w:noProof/>
                <w:webHidden/>
              </w:rPr>
              <w:t>79</w:t>
            </w:r>
            <w:r w:rsidR="002F0A6A">
              <w:rPr>
                <w:noProof/>
                <w:webHidden/>
              </w:rPr>
              <w:fldChar w:fldCharType="end"/>
            </w:r>
          </w:hyperlink>
        </w:p>
        <w:p w14:paraId="0A494154" w14:textId="662118E1" w:rsidR="002F0A6A" w:rsidRDefault="00455FE3">
          <w:pPr>
            <w:pStyle w:val="TOC1"/>
            <w:rPr>
              <w:rFonts w:asciiTheme="minorHAnsi" w:eastAsiaTheme="minorEastAsia" w:hAnsiTheme="minorHAnsi"/>
              <w:noProof/>
              <w:lang w:eastAsia="en-AU"/>
            </w:rPr>
          </w:pPr>
          <w:hyperlink w:anchor="_Toc494984658" w:history="1">
            <w:r w:rsidR="002F0A6A" w:rsidRPr="000F5DD6">
              <w:rPr>
                <w:rStyle w:val="Hyperlink"/>
                <w:noProof/>
              </w:rPr>
              <w:t>Financial Statements</w:t>
            </w:r>
            <w:r w:rsidR="002F0A6A">
              <w:rPr>
                <w:noProof/>
                <w:webHidden/>
              </w:rPr>
              <w:tab/>
            </w:r>
            <w:r w:rsidR="002F0A6A">
              <w:rPr>
                <w:noProof/>
                <w:webHidden/>
              </w:rPr>
              <w:fldChar w:fldCharType="begin"/>
            </w:r>
            <w:r w:rsidR="002F0A6A">
              <w:rPr>
                <w:noProof/>
                <w:webHidden/>
              </w:rPr>
              <w:instrText xml:space="preserve"> PAGEREF _Toc494984658 \h </w:instrText>
            </w:r>
            <w:r w:rsidR="002F0A6A">
              <w:rPr>
                <w:noProof/>
                <w:webHidden/>
              </w:rPr>
            </w:r>
            <w:r w:rsidR="002F0A6A">
              <w:rPr>
                <w:noProof/>
                <w:webHidden/>
              </w:rPr>
              <w:fldChar w:fldCharType="separate"/>
            </w:r>
            <w:r w:rsidR="002F0A6A">
              <w:rPr>
                <w:noProof/>
                <w:webHidden/>
              </w:rPr>
              <w:t>80</w:t>
            </w:r>
            <w:r w:rsidR="002F0A6A">
              <w:rPr>
                <w:noProof/>
                <w:webHidden/>
              </w:rPr>
              <w:fldChar w:fldCharType="end"/>
            </w:r>
          </w:hyperlink>
        </w:p>
        <w:p w14:paraId="375BDDB3" w14:textId="0CE287D8" w:rsidR="002F0A6A" w:rsidRDefault="00455FE3">
          <w:pPr>
            <w:pStyle w:val="TOC2"/>
            <w:tabs>
              <w:tab w:val="right" w:leader="dot" w:pos="9854"/>
            </w:tabs>
            <w:rPr>
              <w:rFonts w:asciiTheme="minorHAnsi" w:eastAsiaTheme="minorEastAsia" w:hAnsiTheme="minorHAnsi"/>
              <w:noProof/>
              <w:lang w:eastAsia="en-AU"/>
            </w:rPr>
          </w:pPr>
          <w:hyperlink w:anchor="_Toc494984659" w:history="1">
            <w:r w:rsidR="002F0A6A" w:rsidRPr="000F5DD6">
              <w:rPr>
                <w:rStyle w:val="Hyperlink"/>
                <w:noProof/>
              </w:rPr>
              <w:t>Financial Summary</w:t>
            </w:r>
            <w:r w:rsidR="002F0A6A">
              <w:rPr>
                <w:noProof/>
                <w:webHidden/>
              </w:rPr>
              <w:tab/>
            </w:r>
            <w:r w:rsidR="002F0A6A">
              <w:rPr>
                <w:noProof/>
                <w:webHidden/>
              </w:rPr>
              <w:fldChar w:fldCharType="begin"/>
            </w:r>
            <w:r w:rsidR="002F0A6A">
              <w:rPr>
                <w:noProof/>
                <w:webHidden/>
              </w:rPr>
              <w:instrText xml:space="preserve"> PAGEREF _Toc494984659 \h </w:instrText>
            </w:r>
            <w:r w:rsidR="002F0A6A">
              <w:rPr>
                <w:noProof/>
                <w:webHidden/>
              </w:rPr>
            </w:r>
            <w:r w:rsidR="002F0A6A">
              <w:rPr>
                <w:noProof/>
                <w:webHidden/>
              </w:rPr>
              <w:fldChar w:fldCharType="separate"/>
            </w:r>
            <w:r w:rsidR="002F0A6A">
              <w:rPr>
                <w:noProof/>
                <w:webHidden/>
              </w:rPr>
              <w:t>81</w:t>
            </w:r>
            <w:r w:rsidR="002F0A6A">
              <w:rPr>
                <w:noProof/>
                <w:webHidden/>
              </w:rPr>
              <w:fldChar w:fldCharType="end"/>
            </w:r>
          </w:hyperlink>
        </w:p>
        <w:p w14:paraId="5A54FFFB" w14:textId="4C23E9CD" w:rsidR="002F0A6A" w:rsidRDefault="00455FE3">
          <w:pPr>
            <w:pStyle w:val="TOC2"/>
            <w:tabs>
              <w:tab w:val="right" w:leader="dot" w:pos="9854"/>
            </w:tabs>
            <w:rPr>
              <w:rFonts w:asciiTheme="minorHAnsi" w:eastAsiaTheme="minorEastAsia" w:hAnsiTheme="minorHAnsi"/>
              <w:noProof/>
              <w:lang w:eastAsia="en-AU"/>
            </w:rPr>
          </w:pPr>
          <w:hyperlink w:anchor="_Toc494984660" w:history="1">
            <w:r w:rsidR="002F0A6A" w:rsidRPr="000F5DD6">
              <w:rPr>
                <w:rStyle w:val="Hyperlink"/>
                <w:noProof/>
              </w:rPr>
              <w:t>Statement by the Chief Finance Officer</w:t>
            </w:r>
            <w:r w:rsidR="002F0A6A">
              <w:rPr>
                <w:noProof/>
                <w:webHidden/>
              </w:rPr>
              <w:tab/>
            </w:r>
            <w:r w:rsidR="002F0A6A">
              <w:rPr>
                <w:noProof/>
                <w:webHidden/>
              </w:rPr>
              <w:fldChar w:fldCharType="begin"/>
            </w:r>
            <w:r w:rsidR="002F0A6A">
              <w:rPr>
                <w:noProof/>
                <w:webHidden/>
              </w:rPr>
              <w:instrText xml:space="preserve"> PAGEREF _Toc494984660 \h </w:instrText>
            </w:r>
            <w:r w:rsidR="002F0A6A">
              <w:rPr>
                <w:noProof/>
                <w:webHidden/>
              </w:rPr>
            </w:r>
            <w:r w:rsidR="002F0A6A">
              <w:rPr>
                <w:noProof/>
                <w:webHidden/>
              </w:rPr>
              <w:fldChar w:fldCharType="separate"/>
            </w:r>
            <w:r w:rsidR="002F0A6A">
              <w:rPr>
                <w:noProof/>
                <w:webHidden/>
              </w:rPr>
              <w:t>81</w:t>
            </w:r>
            <w:r w:rsidR="002F0A6A">
              <w:rPr>
                <w:noProof/>
                <w:webHidden/>
              </w:rPr>
              <w:fldChar w:fldCharType="end"/>
            </w:r>
          </w:hyperlink>
        </w:p>
        <w:p w14:paraId="09ED25DD" w14:textId="5FEB6E2D" w:rsidR="002F0A6A" w:rsidRDefault="00455FE3">
          <w:pPr>
            <w:pStyle w:val="TOC1"/>
            <w:rPr>
              <w:rFonts w:asciiTheme="minorHAnsi" w:eastAsiaTheme="minorEastAsia" w:hAnsiTheme="minorHAnsi"/>
              <w:noProof/>
              <w:lang w:eastAsia="en-AU"/>
            </w:rPr>
          </w:pPr>
          <w:hyperlink w:anchor="_Toc494984661" w:history="1">
            <w:r w:rsidR="002F0A6A" w:rsidRPr="000F5DD6">
              <w:rPr>
                <w:rStyle w:val="Hyperlink"/>
                <w:noProof/>
              </w:rPr>
              <w:t>Appendix A — Compliance Checklist</w:t>
            </w:r>
            <w:r w:rsidR="002F0A6A">
              <w:rPr>
                <w:noProof/>
                <w:webHidden/>
              </w:rPr>
              <w:tab/>
            </w:r>
            <w:r w:rsidR="002F0A6A">
              <w:rPr>
                <w:noProof/>
                <w:webHidden/>
              </w:rPr>
              <w:fldChar w:fldCharType="begin"/>
            </w:r>
            <w:r w:rsidR="002F0A6A">
              <w:rPr>
                <w:noProof/>
                <w:webHidden/>
              </w:rPr>
              <w:instrText xml:space="preserve"> PAGEREF _Toc494984661 \h </w:instrText>
            </w:r>
            <w:r w:rsidR="002F0A6A">
              <w:rPr>
                <w:noProof/>
                <w:webHidden/>
              </w:rPr>
            </w:r>
            <w:r w:rsidR="002F0A6A">
              <w:rPr>
                <w:noProof/>
                <w:webHidden/>
              </w:rPr>
              <w:fldChar w:fldCharType="separate"/>
            </w:r>
            <w:r w:rsidR="002F0A6A">
              <w:rPr>
                <w:noProof/>
                <w:webHidden/>
              </w:rPr>
              <w:t>83</w:t>
            </w:r>
            <w:r w:rsidR="002F0A6A">
              <w:rPr>
                <w:noProof/>
                <w:webHidden/>
              </w:rPr>
              <w:fldChar w:fldCharType="end"/>
            </w:r>
          </w:hyperlink>
        </w:p>
        <w:p w14:paraId="6B439571" w14:textId="23001E3C" w:rsidR="002F0A6A" w:rsidRDefault="002F0A6A">
          <w:r>
            <w:fldChar w:fldCharType="end"/>
          </w:r>
        </w:p>
      </w:sdtContent>
    </w:sdt>
    <w:p w14:paraId="7538C092" w14:textId="77777777" w:rsidR="00665E01" w:rsidRDefault="00665E01">
      <w:pPr>
        <w:spacing w:line="259" w:lineRule="auto"/>
        <w:rPr>
          <w:rFonts w:eastAsiaTheme="majorEastAsia" w:cstheme="majorBidi"/>
          <w:b/>
          <w:color w:val="000000" w:themeColor="text1"/>
          <w:spacing w:val="-10"/>
          <w:kern w:val="28"/>
          <w:sz w:val="56"/>
          <w:szCs w:val="32"/>
        </w:rPr>
      </w:pPr>
      <w:r>
        <w:br w:type="page"/>
      </w:r>
    </w:p>
    <w:p w14:paraId="2DE91212" w14:textId="6F96549B" w:rsidR="00D71A63" w:rsidRDefault="007A2F41" w:rsidP="005D3ADE">
      <w:pPr>
        <w:pStyle w:val="Heading1"/>
      </w:pPr>
      <w:bookmarkStart w:id="9" w:name="_Toc494984614"/>
      <w:r w:rsidRPr="008A7BD1">
        <w:lastRenderedPageBreak/>
        <w:t xml:space="preserve">Message from the </w:t>
      </w:r>
      <w:r w:rsidRPr="008A7BD1" w:rsidDel="005B4ADB">
        <w:t>Director</w:t>
      </w:r>
      <w:bookmarkEnd w:id="8"/>
      <w:r w:rsidR="005B4ADB">
        <w:t>-General</w:t>
      </w:r>
      <w:bookmarkEnd w:id="9"/>
    </w:p>
    <w:p w14:paraId="201AAA4B" w14:textId="7B5FE641" w:rsidR="00206E75" w:rsidRDefault="00D675BC" w:rsidP="00CF0A4C">
      <w:r>
        <w:t>IMAGE: LIZA CARROLL, DIRECTOR-GENERAL, DEPARTMENT OF HOUSING AND PUBLIC WORKS</w:t>
      </w:r>
    </w:p>
    <w:p w14:paraId="41C6526A" w14:textId="4F675AB5" w:rsidR="00202807" w:rsidRDefault="00202807" w:rsidP="00CF0A4C">
      <w:r>
        <w:t xml:space="preserve">The </w:t>
      </w:r>
      <w:r w:rsidDel="000C39C3">
        <w:t>2016</w:t>
      </w:r>
      <w:r w:rsidR="000C39C3">
        <w:t>–17</w:t>
      </w:r>
      <w:r>
        <w:t xml:space="preserve"> year has seen the Department of Housing and Public Works </w:t>
      </w:r>
      <w:r w:rsidR="00AB76ED">
        <w:t xml:space="preserve">continue to </w:t>
      </w:r>
      <w:r>
        <w:t xml:space="preserve">make significant progress on </w:t>
      </w:r>
      <w:r w:rsidRPr="00CF0A4C">
        <w:t>implementing</w:t>
      </w:r>
      <w:r>
        <w:t xml:space="preserve"> </w:t>
      </w:r>
      <w:r w:rsidR="00300064">
        <w:t>our</w:t>
      </w:r>
      <w:r>
        <w:t xml:space="preserve"> priorities in the areas of housing, building and procurement. The department supports Queensland’s economic wellbeing </w:t>
      </w:r>
      <w:r w:rsidR="00300064">
        <w:t>and</w:t>
      </w:r>
      <w:r>
        <w:t xml:space="preserve"> aims to improve the quality of life for people and communities. </w:t>
      </w:r>
    </w:p>
    <w:p w14:paraId="705489CA" w14:textId="7EFD7B8B" w:rsidR="00202807" w:rsidRDefault="00300064" w:rsidP="00CF0A4C">
      <w:r>
        <w:t>I am proud to present the Department of Housing and Public Works’ 2016</w:t>
      </w:r>
      <w:r w:rsidR="00AD4C1D">
        <w:t>–</w:t>
      </w:r>
      <w:r>
        <w:t xml:space="preserve">17 </w:t>
      </w:r>
      <w:r w:rsidR="00202807">
        <w:t>annual report</w:t>
      </w:r>
      <w:r>
        <w:t>. It</w:t>
      </w:r>
      <w:r w:rsidR="00202807">
        <w:t xml:space="preserve"> outlines the progress we have made in contributing to the Government’s </w:t>
      </w:r>
      <w:r>
        <w:t>objectives</w:t>
      </w:r>
      <w:r w:rsidR="00202807">
        <w:t xml:space="preserve"> and recognises </w:t>
      </w:r>
      <w:r w:rsidR="00202807" w:rsidDel="00300064">
        <w:t xml:space="preserve">the significant </w:t>
      </w:r>
      <w:r w:rsidR="00202807">
        <w:t>work that we have delivered</w:t>
      </w:r>
      <w:r>
        <w:t xml:space="preserve"> to achieve the direction set out in </w:t>
      </w:r>
      <w:r w:rsidR="00202807">
        <w:t xml:space="preserve">our </w:t>
      </w:r>
      <w:r w:rsidR="00202807" w:rsidRPr="254438D3">
        <w:rPr>
          <w:i/>
          <w:iCs/>
        </w:rPr>
        <w:t>Strategic Plan 201</w:t>
      </w:r>
      <w:r w:rsidR="005313E2">
        <w:rPr>
          <w:i/>
          <w:iCs/>
        </w:rPr>
        <w:t>6</w:t>
      </w:r>
      <w:r w:rsidR="00AD4C1D">
        <w:rPr>
          <w:i/>
          <w:iCs/>
        </w:rPr>
        <w:t>–</w:t>
      </w:r>
      <w:r w:rsidR="005313E2">
        <w:rPr>
          <w:i/>
          <w:iCs/>
        </w:rPr>
        <w:t>20</w:t>
      </w:r>
      <w:r w:rsidR="00202807">
        <w:t>.</w:t>
      </w:r>
    </w:p>
    <w:p w14:paraId="7637100D" w14:textId="77777777" w:rsidR="00202807" w:rsidRPr="00986825" w:rsidRDefault="00202807" w:rsidP="000B72AE">
      <w:pPr>
        <w:pStyle w:val="Heading3"/>
      </w:pPr>
      <w:r w:rsidRPr="00E76446">
        <w:t>Better lives, greater opportunities for people and communities</w:t>
      </w:r>
    </w:p>
    <w:p w14:paraId="396FC4B9" w14:textId="75E74B0B" w:rsidR="00202807" w:rsidRDefault="00202807" w:rsidP="00CF0A4C">
      <w:r>
        <w:t xml:space="preserve">A centrepiece of the department’s work this year was the launch of the </w:t>
      </w:r>
      <w:r w:rsidR="003B2F61">
        <w:t xml:space="preserve">$1.8 billion </w:t>
      </w:r>
      <w:r w:rsidRPr="173C75F6">
        <w:rPr>
          <w:i/>
          <w:iCs/>
        </w:rPr>
        <w:t xml:space="preserve">Queensland Housing Strategy </w:t>
      </w:r>
      <w:r w:rsidRPr="254438D3" w:rsidDel="000C39C3">
        <w:rPr>
          <w:i/>
          <w:iCs/>
        </w:rPr>
        <w:t>2017</w:t>
      </w:r>
      <w:r w:rsidR="000C39C3" w:rsidRPr="173C75F6">
        <w:rPr>
          <w:i/>
          <w:iCs/>
        </w:rPr>
        <w:t>–2027</w:t>
      </w:r>
      <w:r>
        <w:t>, a 10-year framework that will drive key reforms to revitalise our housing and homelessness system and ensure our housing assistance system is fair and responsive.</w:t>
      </w:r>
    </w:p>
    <w:p w14:paraId="0FDACCBE" w14:textId="4A4AD482" w:rsidR="00202807" w:rsidRDefault="00202807" w:rsidP="00CF0A4C">
      <w:r>
        <w:t xml:space="preserve">Keeping Queenslanders at the centre of the services we deliver remained a core focus in </w:t>
      </w:r>
      <w:r w:rsidDel="000C39C3">
        <w:t>2016</w:t>
      </w:r>
      <w:r w:rsidR="000C39C3">
        <w:t>–17</w:t>
      </w:r>
      <w:r>
        <w:t xml:space="preserve">. The department assisted </w:t>
      </w:r>
      <w:r w:rsidR="00C52DBC">
        <w:t>approximately</w:t>
      </w:r>
      <w:r>
        <w:t xml:space="preserve"> 72,000 low income households with social rental housing, and helped </w:t>
      </w:r>
      <w:r w:rsidR="00A3595C">
        <w:t>more than</w:t>
      </w:r>
      <w:r>
        <w:t xml:space="preserve"> </w:t>
      </w:r>
      <w:r w:rsidR="00A3595C">
        <w:t>200</w:t>
      </w:r>
      <w:r>
        <w:t>,000 low income households to access or remain in the private housing market.</w:t>
      </w:r>
    </w:p>
    <w:p w14:paraId="57ED5F34" w14:textId="5D799262" w:rsidR="00202807" w:rsidRDefault="00202807" w:rsidP="00CF0A4C">
      <w:r>
        <w:t>Other key pieces of work in the housing space were completed, including new social housing, upgrades and modifications to existing homes, and the delivery of NRL House in Townsville. Strong progress was also made toward achieving home ownership on Aboriginal and Torres Strait Islander land.</w:t>
      </w:r>
    </w:p>
    <w:p w14:paraId="486A20FC" w14:textId="33C76CD9" w:rsidR="00202807" w:rsidRDefault="00202807" w:rsidP="00CF0A4C">
      <w:r>
        <w:t xml:space="preserve">The department launched the Dignity First Fund in </w:t>
      </w:r>
      <w:r w:rsidDel="000C39C3">
        <w:t>2016</w:t>
      </w:r>
      <w:r w:rsidR="000C39C3">
        <w:t>–17</w:t>
      </w:r>
      <w:r>
        <w:t>, an initiative aimed at assisting Queenslanders experiencing homelessness to live with dignity. This fund was just one of many projects delivered to support the most vulnerable in our community, including families escaping domestic and family violence.</w:t>
      </w:r>
    </w:p>
    <w:p w14:paraId="2A804E3F" w14:textId="1BF1A26E" w:rsidR="00202807" w:rsidRDefault="00202807" w:rsidP="00CF0A4C">
      <w:r>
        <w:t>Fairness and consumer protection for retirement village residents was also an area of focus for the department, with amendments to legislation governing the sector making significant progress.</w:t>
      </w:r>
    </w:p>
    <w:p w14:paraId="62C5280D" w14:textId="0ACA86D1" w:rsidR="00530317" w:rsidRDefault="00530317" w:rsidP="00CF0A4C">
      <w:r>
        <w:t>The department also pl</w:t>
      </w:r>
      <w:r w:rsidR="00346764">
        <w:t>ayed</w:t>
      </w:r>
      <w:r>
        <w:t xml:space="preserve"> a role in enabling the delivery of essential services in remote communities by building new government employee housing in areas where needed.</w:t>
      </w:r>
    </w:p>
    <w:p w14:paraId="1746938B" w14:textId="77777777" w:rsidR="00202807" w:rsidRPr="00986825" w:rsidRDefault="00202807" w:rsidP="000B72AE">
      <w:pPr>
        <w:pStyle w:val="Heading3"/>
      </w:pPr>
      <w:r w:rsidRPr="00986825">
        <w:t>A safer, fairer and sustainable environment for industries</w:t>
      </w:r>
    </w:p>
    <w:p w14:paraId="0996E802" w14:textId="2A72B598" w:rsidR="00202807" w:rsidRDefault="00202807" w:rsidP="00CF0A4C">
      <w:r>
        <w:t xml:space="preserve">Our work in the building space was underpinned by </w:t>
      </w:r>
      <w:r w:rsidR="00530317">
        <w:t xml:space="preserve">extensive </w:t>
      </w:r>
      <w:r>
        <w:t xml:space="preserve">engagement with the building and </w:t>
      </w:r>
      <w:r w:rsidR="00530317">
        <w:t xml:space="preserve">construction </w:t>
      </w:r>
      <w:r>
        <w:t xml:space="preserve">sectors through the release of the </w:t>
      </w:r>
      <w:r w:rsidRPr="254438D3">
        <w:rPr>
          <w:i/>
          <w:iCs/>
        </w:rPr>
        <w:t>Queensland Building Plan discussion paper</w:t>
      </w:r>
      <w:r>
        <w:t xml:space="preserve">. Of </w:t>
      </w:r>
      <w:r w:rsidR="00530317">
        <w:t xml:space="preserve">the </w:t>
      </w:r>
      <w:r>
        <w:t xml:space="preserve">identified areas of reform, the department </w:t>
      </w:r>
      <w:r w:rsidR="00530317">
        <w:t xml:space="preserve">commenced drafting </w:t>
      </w:r>
      <w:r>
        <w:t xml:space="preserve">changes to legislation regarding non-conforming building products </w:t>
      </w:r>
      <w:r w:rsidR="00530317">
        <w:t>to make buildings safer for all Queenslanders. A</w:t>
      </w:r>
      <w:r>
        <w:t xml:space="preserve"> proposal to improve security of payment for subcontractors</w:t>
      </w:r>
      <w:r w:rsidR="00530317">
        <w:t xml:space="preserve"> was also progressed to deliver a fairer system.</w:t>
      </w:r>
    </w:p>
    <w:p w14:paraId="7D4F4427" w14:textId="750B4095" w:rsidR="00202807" w:rsidRDefault="00202807" w:rsidP="00CF0A4C">
      <w:r>
        <w:t xml:space="preserve">Other milestones achieved in </w:t>
      </w:r>
      <w:r w:rsidDel="000C39C3">
        <w:t>2016</w:t>
      </w:r>
      <w:r w:rsidR="000C39C3">
        <w:t>–17</w:t>
      </w:r>
      <w:r>
        <w:t xml:space="preserve"> included partnering with the Queensland Fire and Emergency Service</w:t>
      </w:r>
      <w:r w:rsidR="000931A3">
        <w:t>s</w:t>
      </w:r>
      <w:r>
        <w:t xml:space="preserve"> to legislate changes to smoke alarm laws</w:t>
      </w:r>
      <w:r w:rsidR="00530317">
        <w:t xml:space="preserve"> and</w:t>
      </w:r>
      <w:r>
        <w:t xml:space="preserve"> implementing reforms to expand the Queensland Home Warranty Scheme.</w:t>
      </w:r>
    </w:p>
    <w:p w14:paraId="08A8F1D4" w14:textId="5C6E0232" w:rsidR="00202807" w:rsidRPr="001A0FEB" w:rsidRDefault="00202807" w:rsidP="00CF0A4C">
      <w:pPr>
        <w:rPr>
          <w:b/>
          <w:bCs/>
        </w:rPr>
      </w:pPr>
      <w:r>
        <w:t xml:space="preserve">Sustainable built infrastructure and fleet management </w:t>
      </w:r>
      <w:r w:rsidR="0047463A">
        <w:t>were other</w:t>
      </w:r>
      <w:r>
        <w:t xml:space="preserve"> feature</w:t>
      </w:r>
      <w:r w:rsidR="0047463A">
        <w:t>s</w:t>
      </w:r>
      <w:r>
        <w:t xml:space="preserve"> of the department’s service delivery this year, achieved through energy saving retrofits, the use of Green Star Performance rating tools</w:t>
      </w:r>
      <w:r w:rsidR="00C9018E">
        <w:t xml:space="preserve"> and </w:t>
      </w:r>
      <w:r>
        <w:t>emission standards for vehicle procurement</w:t>
      </w:r>
      <w:r w:rsidR="00C9018E">
        <w:t>.</w:t>
      </w:r>
    </w:p>
    <w:p w14:paraId="79E559AA" w14:textId="0D0B6185" w:rsidR="00202807" w:rsidRPr="00986825" w:rsidRDefault="00202807" w:rsidP="00792F33">
      <w:pPr>
        <w:pStyle w:val="ARHeading4"/>
      </w:pPr>
      <w:r w:rsidRPr="00E76446">
        <w:lastRenderedPageBreak/>
        <w:t xml:space="preserve">Greater value and support for employment and economic opportunities </w:t>
      </w:r>
    </w:p>
    <w:p w14:paraId="6EADBF39" w14:textId="1AF2914A" w:rsidR="00202807" w:rsidRDefault="00202807" w:rsidP="00CF0A4C">
      <w:r>
        <w:t xml:space="preserve">In </w:t>
      </w:r>
      <w:r w:rsidDel="000C39C3">
        <w:t>2016</w:t>
      </w:r>
      <w:r w:rsidR="000C39C3">
        <w:t>–17</w:t>
      </w:r>
      <w:r w:rsidR="00E24E43">
        <w:t>,</w:t>
      </w:r>
      <w:r>
        <w:t xml:space="preserve"> strong foundations were laid to help the department drive our procurement agenda, including the establishment of the Office of the Chief Advisor – Procurement, new governance arrangements through the Queensland Government Procurement Committee and </w:t>
      </w:r>
      <w:r w:rsidR="00E24E43">
        <w:t xml:space="preserve">the </w:t>
      </w:r>
      <w:r>
        <w:t xml:space="preserve">Procurement Industry Advisory Council </w:t>
      </w:r>
      <w:r w:rsidR="00E12541">
        <w:t xml:space="preserve">as well as </w:t>
      </w:r>
      <w:r>
        <w:t xml:space="preserve">the establishment of six Category Councils across </w:t>
      </w:r>
      <w:r w:rsidR="00305F1F">
        <w:t>g</w:t>
      </w:r>
      <w:r>
        <w:t>overnment.</w:t>
      </w:r>
    </w:p>
    <w:p w14:paraId="1A8DE046" w14:textId="77777777" w:rsidR="00202807" w:rsidRDefault="00202807" w:rsidP="00CF0A4C">
      <w:r>
        <w:t>There was a continued focus on strengthening engagement and increasing certainty for industry through the publication of forward procurement pipelines, a new sourcing process to boost participation and partnerships with Aboriginal and Torres Strait Islander Councils to build capability and capacity.</w:t>
      </w:r>
    </w:p>
    <w:p w14:paraId="4FE1ACEE" w14:textId="4A83640A" w:rsidR="00202807" w:rsidRDefault="00202807" w:rsidP="00CF0A4C">
      <w:r>
        <w:t xml:space="preserve">The department also played a key role in the </w:t>
      </w:r>
      <w:r w:rsidR="00413DD0">
        <w:t>delivery</w:t>
      </w:r>
      <w:r>
        <w:t xml:space="preserve"> of the Advancing Queensland Schools program, helping drive economic activity in communities across the state.</w:t>
      </w:r>
    </w:p>
    <w:p w14:paraId="1FB3F596" w14:textId="3F601644" w:rsidR="00202807" w:rsidRDefault="00202807" w:rsidP="00CF0A4C">
      <w:r>
        <w:t xml:space="preserve">These achievements, and continued work will be supported by the </w:t>
      </w:r>
      <w:r w:rsidR="00E24E43">
        <w:t>new</w:t>
      </w:r>
      <w:r w:rsidR="003F25F6">
        <w:t xml:space="preserve"> </w:t>
      </w:r>
      <w:r>
        <w:t xml:space="preserve">Queensland Government Procurement Strategy which </w:t>
      </w:r>
      <w:r w:rsidR="003F25F6">
        <w:t>we have been developing</w:t>
      </w:r>
      <w:r w:rsidR="009667ED">
        <w:t xml:space="preserve"> for release in early 2017</w:t>
      </w:r>
      <w:r w:rsidR="00346764">
        <w:t>–</w:t>
      </w:r>
      <w:r w:rsidR="009667ED">
        <w:t>18</w:t>
      </w:r>
      <w:r>
        <w:t>.</w:t>
      </w:r>
    </w:p>
    <w:p w14:paraId="68075A67" w14:textId="0AE3D16E" w:rsidR="00530317" w:rsidRDefault="00530317" w:rsidP="00CF0A4C">
      <w:r>
        <w:t xml:space="preserve">We have remained committed to using assets and resources more efficiently to achieve better value through </w:t>
      </w:r>
      <w:r w:rsidR="00C9018E">
        <w:t>the successful trial of a car-sharing model</w:t>
      </w:r>
      <w:r w:rsidR="00750332">
        <w:t xml:space="preserve"> and </w:t>
      </w:r>
      <w:r w:rsidR="003A4D10">
        <w:t>aggregated procurement arrangements with vehicle manufacturers</w:t>
      </w:r>
      <w:r w:rsidR="00E24E43">
        <w:t>,</w:t>
      </w:r>
      <w:r w:rsidR="003A4D10">
        <w:t xml:space="preserve"> to achieve cost savings to government.</w:t>
      </w:r>
    </w:p>
    <w:p w14:paraId="2E288068" w14:textId="5E3E0478" w:rsidR="00750332" w:rsidRDefault="00750332" w:rsidP="00750332">
      <w:r>
        <w:t>The delivery of the department’s government accommodation services was dominated by the</w:t>
      </w:r>
      <w:r w:rsidDel="1F7667E5">
        <w:t xml:space="preserve"> </w:t>
      </w:r>
      <w:r>
        <w:t>implementation of Phase 1 of the Brisbane CBD and Fringe Government Office Accommodation Strategy – which will see</w:t>
      </w:r>
      <w:r w:rsidR="003B2F61">
        <w:t xml:space="preserve"> </w:t>
      </w:r>
      <w:r>
        <w:t>16,000 public servants moving into new accommodation across the broader Brisbane area. The strategy also provides opportunities to embrace new ways to work, with whole-of-government distributed work centres opening in Robina and Maroochydore, and agile workspace fitouts</w:t>
      </w:r>
      <w:r w:rsidRPr="57FF2F9F">
        <w:t xml:space="preserve"> </w:t>
      </w:r>
      <w:r>
        <w:t>being</w:t>
      </w:r>
      <w:r w:rsidRPr="57FF2F9F">
        <w:t xml:space="preserve"> </w:t>
      </w:r>
      <w:r>
        <w:t>piloted.</w:t>
      </w:r>
    </w:p>
    <w:p w14:paraId="55E14E23" w14:textId="77777777" w:rsidR="00202807" w:rsidRPr="00986825" w:rsidRDefault="00202807" w:rsidP="00792F33">
      <w:pPr>
        <w:pStyle w:val="ARHeading4"/>
      </w:pPr>
      <w:r w:rsidRPr="00E76446">
        <w:t>Empowered people in a collaborative, integrated organisation</w:t>
      </w:r>
    </w:p>
    <w:p w14:paraId="3F7F7BF7" w14:textId="6CF6A273" w:rsidR="00202807" w:rsidRDefault="00202807" w:rsidP="00CF0A4C">
      <w:r>
        <w:t xml:space="preserve">Collaboration was a highlight of the department’s work in </w:t>
      </w:r>
      <w:r w:rsidDel="000C39C3">
        <w:t>2016</w:t>
      </w:r>
      <w:r w:rsidR="000C39C3">
        <w:t>–17</w:t>
      </w:r>
      <w:r>
        <w:t xml:space="preserve">, particularly during </w:t>
      </w:r>
      <w:r w:rsidR="00BC3830">
        <w:t>S</w:t>
      </w:r>
      <w:r w:rsidR="00E24E43">
        <w:t>eve</w:t>
      </w:r>
      <w:r w:rsidR="00391260">
        <w:t>re</w:t>
      </w:r>
      <w:r w:rsidR="00E24E43">
        <w:t xml:space="preserve"> </w:t>
      </w:r>
      <w:r>
        <w:t xml:space="preserve">Tropical Cyclone Debbie in March. The department’s business areas worked together to </w:t>
      </w:r>
      <w:r w:rsidR="009667ED">
        <w:t>respond to the</w:t>
      </w:r>
      <w:r>
        <w:t xml:space="preserve"> disaster providing vital housing and building and engineering services.</w:t>
      </w:r>
    </w:p>
    <w:p w14:paraId="22AF3ACC" w14:textId="2052C9FE" w:rsidR="00202807" w:rsidRPr="001F38A6" w:rsidRDefault="00202807" w:rsidP="004C0A1D">
      <w:r>
        <w:t xml:space="preserve">We have maintained our commitment to investing in our people to help us </w:t>
      </w:r>
      <w:r w:rsidR="002D5DC8">
        <w:t xml:space="preserve">to </w:t>
      </w:r>
      <w:r>
        <w:t>deliver on our vision and meet our objectives</w:t>
      </w:r>
      <w:r w:rsidR="004C0A1D">
        <w:t>.</w:t>
      </w:r>
      <w:r>
        <w:t xml:space="preserve"> </w:t>
      </w:r>
      <w:r w:rsidR="004C0A1D">
        <w:t>W</w:t>
      </w:r>
      <w:r>
        <w:t>e launched a number of initiatives aimed at building an empowered workforce including the online learning and talent management system MyCareerHub</w:t>
      </w:r>
      <w:r w:rsidRPr="5E3A9904">
        <w:t>.</w:t>
      </w:r>
    </w:p>
    <w:p w14:paraId="21B47B2C" w14:textId="77777777" w:rsidR="009667ED" w:rsidRDefault="009667ED" w:rsidP="009667ED">
      <w:r>
        <w:t>Ongoing commitment to a healthy and safe workplace saw the department achieve some excellent results including reduced absenteeism and strong participation in health assessments, flu vaccinations and mental health awareness training. The department also made significant progress toward achieving White Ribbon accreditation.</w:t>
      </w:r>
    </w:p>
    <w:p w14:paraId="376F68AB" w14:textId="1D93944E" w:rsidR="00202807" w:rsidRDefault="004C0A1D" w:rsidP="00CF0A4C">
      <w:r>
        <w:t>In the wake of the department’s Capability Blueprint exercise, w</w:t>
      </w:r>
      <w:r w:rsidR="00202807">
        <w:t xml:space="preserve">orking together as One Department was a key theme in </w:t>
      </w:r>
      <w:r w:rsidR="00202807" w:rsidDel="000C39C3">
        <w:t>2016</w:t>
      </w:r>
      <w:r w:rsidR="000C39C3">
        <w:t>–17</w:t>
      </w:r>
      <w:r w:rsidR="00E24E43">
        <w:t>.</w:t>
      </w:r>
      <w:r w:rsidR="00202807">
        <w:t xml:space="preserve"> </w:t>
      </w:r>
      <w:r w:rsidR="00E24E43">
        <w:t xml:space="preserve">The </w:t>
      </w:r>
      <w:r w:rsidR="00202807">
        <w:t xml:space="preserve">focus </w:t>
      </w:r>
      <w:r w:rsidR="00E24E43">
        <w:t xml:space="preserve">was </w:t>
      </w:r>
      <w:r w:rsidR="00202807">
        <w:t xml:space="preserve">on programs </w:t>
      </w:r>
      <w:r w:rsidR="00E24E43">
        <w:t>encouraging</w:t>
      </w:r>
      <w:r w:rsidR="00202807">
        <w:t xml:space="preserve"> mobility and leadership at all levels, </w:t>
      </w:r>
      <w:r w:rsidR="00E24E43">
        <w:t xml:space="preserve">using </w:t>
      </w:r>
      <w:r w:rsidR="00202807">
        <w:t>new technology to drive innovative service delivery and provid</w:t>
      </w:r>
      <w:r w:rsidR="00E24E43">
        <w:t>ing</w:t>
      </w:r>
      <w:r w:rsidR="00202807">
        <w:t xml:space="preserve"> opportunities for teams to collaborate and engage more closely.</w:t>
      </w:r>
    </w:p>
    <w:p w14:paraId="0D8A5EB9" w14:textId="5B1DFEA0" w:rsidR="00202807" w:rsidRDefault="00202807" w:rsidP="00CF0A4C">
      <w:r>
        <w:t xml:space="preserve">The activities and achievements outlined in this report show that we are well placed to deliver our future programs of work, and are a strong reflection </w:t>
      </w:r>
      <w:r w:rsidR="003B2709">
        <w:t>of</w:t>
      </w:r>
      <w:r>
        <w:t xml:space="preserve"> our talented and dedicated workforce. I thank all staff for their ongoing work and commitment to supporting our vision and delivering high quality services to Queenslanders.</w:t>
      </w:r>
    </w:p>
    <w:p w14:paraId="10608FC4" w14:textId="77777777" w:rsidR="00202807" w:rsidRDefault="00202807" w:rsidP="00CF0A4C"/>
    <w:p w14:paraId="6377FA4A" w14:textId="77777777" w:rsidR="00202807" w:rsidRDefault="00202807" w:rsidP="00CF0A4C">
      <w:r w:rsidRPr="00E76446">
        <w:t>Liza Carroll, Director-General</w:t>
      </w:r>
    </w:p>
    <w:p w14:paraId="7FEAAF27" w14:textId="05386D5E" w:rsidR="00D71A63" w:rsidRDefault="00D675BC" w:rsidP="00CF0A4C">
      <w:pPr>
        <w:rPr>
          <w:rFonts w:eastAsiaTheme="majorEastAsia" w:cstheme="majorBidi"/>
          <w:color w:val="000000" w:themeColor="text1"/>
          <w:spacing w:val="-10"/>
          <w:kern w:val="28"/>
          <w:sz w:val="56"/>
          <w:szCs w:val="32"/>
        </w:rPr>
      </w:pPr>
      <w:r>
        <w:t>IMAGE: LADY, TWO YOUNG CHILDREN AND DOG IN PARK</w:t>
      </w:r>
      <w:r>
        <w:br w:type="page"/>
      </w:r>
    </w:p>
    <w:p w14:paraId="12F1671D" w14:textId="77777777" w:rsidR="005E0AF4" w:rsidRDefault="005E0AF4" w:rsidP="00CF0A4C">
      <w:pPr>
        <w:sectPr w:rsidR="005E0AF4" w:rsidSect="00DD51E7">
          <w:pgSz w:w="11906" w:h="16838"/>
          <w:pgMar w:top="1440" w:right="1021" w:bottom="1440" w:left="1021" w:header="709" w:footer="709" w:gutter="0"/>
          <w:cols w:space="708"/>
          <w:docGrid w:linePitch="360"/>
        </w:sectPr>
      </w:pPr>
    </w:p>
    <w:p w14:paraId="10427629" w14:textId="180AA7B3" w:rsidR="006D6874" w:rsidRDefault="006D6874" w:rsidP="002F0A6A">
      <w:pPr>
        <w:pStyle w:val="Title"/>
        <w:pBdr>
          <w:top w:val="none" w:sz="0" w:space="0" w:color="auto"/>
          <w:bottom w:val="none" w:sz="0" w:space="0" w:color="auto"/>
        </w:pBdr>
      </w:pPr>
      <w:bookmarkStart w:id="10" w:name="_Toc458777578"/>
      <w:r>
        <w:lastRenderedPageBreak/>
        <w:t>Part 1</w:t>
      </w:r>
    </w:p>
    <w:p w14:paraId="27257178" w14:textId="756DCC45" w:rsidR="003561D9" w:rsidRDefault="00274E54" w:rsidP="005D3ADE">
      <w:pPr>
        <w:pStyle w:val="Heading1"/>
      </w:pPr>
      <w:bookmarkStart w:id="11" w:name="_Toc494984615"/>
      <w:r>
        <w:t>Our</w:t>
      </w:r>
      <w:r w:rsidR="00760E9F">
        <w:t xml:space="preserve"> Department</w:t>
      </w:r>
      <w:bookmarkEnd w:id="10"/>
      <w:bookmarkEnd w:id="11"/>
    </w:p>
    <w:p w14:paraId="128D2061" w14:textId="26307B07" w:rsidR="00E129BA" w:rsidRPr="000B72AE" w:rsidRDefault="00274E54" w:rsidP="000B72AE">
      <w:pPr>
        <w:pStyle w:val="Heading3"/>
      </w:pPr>
      <w:r w:rsidRPr="000B72AE">
        <w:t xml:space="preserve">Our </w:t>
      </w:r>
      <w:r w:rsidR="00E129BA" w:rsidRPr="000B72AE">
        <w:t>Vision</w:t>
      </w:r>
    </w:p>
    <w:p w14:paraId="4B1FD1ED" w14:textId="58432BBE" w:rsidR="00E129BA" w:rsidRPr="00EF4E38" w:rsidRDefault="004C7DCD" w:rsidP="00CF0A4C">
      <w:r>
        <w:t>We are working together to make a difference to Queenslanders by building better, safer places to live and work.</w:t>
      </w:r>
    </w:p>
    <w:p w14:paraId="1EC53CC7" w14:textId="14878C90" w:rsidR="00E129BA" w:rsidRPr="000B72AE" w:rsidRDefault="00E129BA" w:rsidP="000B72AE">
      <w:pPr>
        <w:pStyle w:val="Heading3"/>
      </w:pPr>
      <w:r w:rsidRPr="000B72AE">
        <w:t xml:space="preserve">Our </w:t>
      </w:r>
      <w:r w:rsidR="00465413" w:rsidRPr="000B72AE">
        <w:t>P</w:t>
      </w:r>
      <w:r w:rsidRPr="000B72AE">
        <w:t>urpose</w:t>
      </w:r>
    </w:p>
    <w:p w14:paraId="0FB9634E" w14:textId="15005944" w:rsidR="00E129BA" w:rsidRPr="00EF4E38" w:rsidRDefault="004E785E" w:rsidP="00CF0A4C">
      <w:r>
        <w:rPr>
          <w:rFonts w:eastAsia="Times New Roman"/>
        </w:rPr>
        <w:t xml:space="preserve">The Department of Housing and Public Works is established under the </w:t>
      </w:r>
      <w:r w:rsidRPr="00FC4067">
        <w:rPr>
          <w:rFonts w:eastAsia="Times New Roman"/>
          <w:i/>
        </w:rPr>
        <w:t>Public Service Act 2008</w:t>
      </w:r>
      <w:r>
        <w:rPr>
          <w:rFonts w:eastAsia="Times New Roman"/>
        </w:rPr>
        <w:t>.</w:t>
      </w:r>
      <w:r w:rsidR="00E129BA" w:rsidRPr="00EF4E38">
        <w:t xml:space="preserve"> </w:t>
      </w:r>
    </w:p>
    <w:p w14:paraId="2359ECEF" w14:textId="08D8A39F" w:rsidR="000C7933" w:rsidRPr="006238D6" w:rsidRDefault="001A0E04" w:rsidP="00CF0A4C">
      <w:r w:rsidRPr="00F97761">
        <w:t>We support Queensland’s economic wellbeing and contribute to improving the quality of life for people and communities.</w:t>
      </w:r>
      <w:r w:rsidR="00F97761" w:rsidRPr="446D654F">
        <w:t xml:space="preserve"> </w:t>
      </w:r>
      <w:r w:rsidRPr="00F97761">
        <w:t xml:space="preserve">We </w:t>
      </w:r>
      <w:r w:rsidR="00F97761">
        <w:t>seek</w:t>
      </w:r>
      <w:r w:rsidRPr="00F97761">
        <w:t xml:space="preserve"> to balance social outcomes with business and economic outcomes.</w:t>
      </w:r>
      <w:r w:rsidR="000C7933">
        <w:t xml:space="preserve"> </w:t>
      </w:r>
    </w:p>
    <w:p w14:paraId="7F695306" w14:textId="2F282BCF" w:rsidR="001A0E04" w:rsidRPr="00F97761" w:rsidRDefault="003B2709" w:rsidP="00CF0A4C">
      <w:r>
        <w:t>We are</w:t>
      </w:r>
      <w:r w:rsidR="001A0E04" w:rsidRPr="00F97761">
        <w:t xml:space="preserve"> responsible for delivering benefits to Queensland through a diverse range of services to people, communities, industry and government in the</w:t>
      </w:r>
      <w:r w:rsidR="00F97761">
        <w:t xml:space="preserve"> </w:t>
      </w:r>
      <w:r w:rsidR="001A0E04" w:rsidRPr="00F97761">
        <w:t>areas of housing, building, fleet and asset management and procurement services. As an organisation, we are also committed to achieving better outcomes for Aboriginal and Torres Strait Islander peoples and their communities.</w:t>
      </w:r>
    </w:p>
    <w:p w14:paraId="06A30405" w14:textId="0AF1184B" w:rsidR="001A0E04" w:rsidRPr="00F97761" w:rsidRDefault="001A0E04" w:rsidP="00CF0A4C">
      <w:r w:rsidRPr="00F97761">
        <w:t>We provide and/or regulate housing assistance and homelessness services for those who are in need</w:t>
      </w:r>
      <w:r w:rsidR="001C45D0" w:rsidRPr="690957E2">
        <w:t>.</w:t>
      </w:r>
    </w:p>
    <w:p w14:paraId="36DDEA97" w14:textId="28C3D509" w:rsidR="001A0E04" w:rsidRPr="004D757C" w:rsidRDefault="001A0E04" w:rsidP="00CF0A4C">
      <w:r w:rsidRPr="004D757C">
        <w:t>We deliver, manage, construct and maintain government assets, office accommodation, fleet and employee housing</w:t>
      </w:r>
      <w:r w:rsidR="001C45D0" w:rsidRPr="690957E2">
        <w:t>.</w:t>
      </w:r>
    </w:p>
    <w:p w14:paraId="7A7D7439" w14:textId="44391EA9" w:rsidR="001A0E04" w:rsidRPr="004D757C" w:rsidRDefault="001A0E04" w:rsidP="00CF0A4C">
      <w:r w:rsidRPr="004D757C">
        <w:t xml:space="preserve">We develop and administer policy, legislation and standards for building and residential </w:t>
      </w:r>
      <w:r w:rsidR="00CC097D">
        <w:t xml:space="preserve">services </w:t>
      </w:r>
      <w:r w:rsidRPr="004D757C">
        <w:t>industries</w:t>
      </w:r>
      <w:r w:rsidR="001C45D0" w:rsidRPr="690957E2">
        <w:t>.</w:t>
      </w:r>
    </w:p>
    <w:p w14:paraId="6E5CC5D1" w14:textId="2D28CB1C" w:rsidR="00E177BC" w:rsidRDefault="001A0E04" w:rsidP="00CF0A4C">
      <w:r w:rsidRPr="004D757C">
        <w:t>We enable more efficient procurement across government.</w:t>
      </w:r>
    </w:p>
    <w:p w14:paraId="7D24210F" w14:textId="6180CB17" w:rsidR="001A0E04" w:rsidRDefault="001A0E04" w:rsidP="00CF0A4C">
      <w:r w:rsidRPr="00F97761">
        <w:t xml:space="preserve">To deliver these services, we operate as </w:t>
      </w:r>
      <w:r w:rsidR="00BC3830">
        <w:t>O</w:t>
      </w:r>
      <w:r w:rsidRPr="00F97761">
        <w:t xml:space="preserve">ne </w:t>
      </w:r>
      <w:r w:rsidR="00BC3830">
        <w:t>D</w:t>
      </w:r>
      <w:r w:rsidRPr="00F97761">
        <w:t>epartment, coordinating and integrating our broad range of business.</w:t>
      </w:r>
    </w:p>
    <w:p w14:paraId="59E33467" w14:textId="033EB448" w:rsidR="006238D6" w:rsidRDefault="006238D6" w:rsidP="173C75F6">
      <w:r>
        <w:t>Our four long-term strategies</w:t>
      </w:r>
      <w:r w:rsidR="003B2709">
        <w:t>, which aim to</w:t>
      </w:r>
      <w:r>
        <w:t xml:space="preserve"> deliver outcomes for all Queenslanders</w:t>
      </w:r>
      <w:r w:rsidR="00C92A8A">
        <w:t>,</w:t>
      </w:r>
      <w:r w:rsidR="003B2709">
        <w:t xml:space="preserve"> are:</w:t>
      </w:r>
    </w:p>
    <w:p w14:paraId="7C5E49F3" w14:textId="24FC24AC" w:rsidR="006238D6" w:rsidRPr="006238D6" w:rsidRDefault="003B2709" w:rsidP="00EC0982">
      <w:pPr>
        <w:pStyle w:val="Bullets"/>
      </w:pPr>
      <w:r>
        <w:t>a</w:t>
      </w:r>
      <w:r w:rsidR="006238D6" w:rsidRPr="006238D6">
        <w:t xml:space="preserve"> Housing Strategy to help build better housing futures for all Queenslanders </w:t>
      </w:r>
    </w:p>
    <w:p w14:paraId="4847FD1E" w14:textId="7817A2DD" w:rsidR="006238D6" w:rsidRPr="006238D6" w:rsidRDefault="003B2709" w:rsidP="00EC0982">
      <w:pPr>
        <w:pStyle w:val="Bullets"/>
      </w:pPr>
      <w:r>
        <w:t>a</w:t>
      </w:r>
      <w:r w:rsidR="006238D6" w:rsidRPr="006238D6">
        <w:t xml:space="preserve"> Building Strategy, </w:t>
      </w:r>
      <w:r>
        <w:t xml:space="preserve">being </w:t>
      </w:r>
      <w:r w:rsidR="006238D6" w:rsidRPr="006238D6">
        <w:t xml:space="preserve">delivered through the Queensland Building Plan, to drive liveable, innovative and sustainable buildings and houses for all Queenslanders </w:t>
      </w:r>
    </w:p>
    <w:p w14:paraId="0CC63BE6" w14:textId="3DCFE3F5" w:rsidR="006238D6" w:rsidRPr="006238D6" w:rsidRDefault="003B2709" w:rsidP="00EC0982">
      <w:pPr>
        <w:pStyle w:val="Bullets"/>
      </w:pPr>
      <w:r>
        <w:t>a</w:t>
      </w:r>
      <w:r w:rsidR="006238D6" w:rsidRPr="006238D6">
        <w:t xml:space="preserve"> Procurement Strategy to ensure best practice procurement that supports local jobs and businesses and improves social outcomes for all Queenslanders </w:t>
      </w:r>
    </w:p>
    <w:p w14:paraId="2BF48B6C" w14:textId="6B690897" w:rsidR="006238D6" w:rsidRPr="006238D6" w:rsidRDefault="003B2709" w:rsidP="00EC0982">
      <w:pPr>
        <w:pStyle w:val="Bullets"/>
      </w:pPr>
      <w:r>
        <w:t>a</w:t>
      </w:r>
      <w:r w:rsidR="006238D6" w:rsidRPr="006238D6">
        <w:t xml:space="preserve"> One Department Strategy to integrate and innovate for the future as we deliver our services for all Queenslanders </w:t>
      </w:r>
    </w:p>
    <w:p w14:paraId="7AD5B988" w14:textId="77777777" w:rsidR="006238D6" w:rsidRPr="00F97761" w:rsidRDefault="006238D6" w:rsidP="00CF0A4C"/>
    <w:p w14:paraId="6E153408" w14:textId="77777777" w:rsidR="001A0E04" w:rsidRPr="00F97761" w:rsidRDefault="001A0E04" w:rsidP="00CF0A4C">
      <w:r w:rsidRPr="00F97761">
        <w:t>We also partner, collaborate, consult and engage with communities, government and non-government agencies and with industry to inform our work and achieve outcomes.</w:t>
      </w:r>
    </w:p>
    <w:p w14:paraId="3E7A1336" w14:textId="77777777" w:rsidR="001A0E04" w:rsidRPr="00F97761" w:rsidRDefault="001A0E04" w:rsidP="00CF0A4C">
      <w:r w:rsidRPr="00F97761">
        <w:t>Our diversity of services is our challenge as well as our strength.</w:t>
      </w:r>
    </w:p>
    <w:p w14:paraId="21EB0BC8" w14:textId="77777777" w:rsidR="007735F7" w:rsidRPr="007B7085" w:rsidRDefault="007735F7" w:rsidP="007B7085">
      <w:pPr>
        <w:spacing w:line="259" w:lineRule="auto"/>
        <w:rPr>
          <w:rFonts w:eastAsia="Times New Roman" w:cstheme="majorBidi"/>
          <w:color w:val="2683C6" w:themeColor="accent6"/>
          <w:sz w:val="28"/>
          <w:szCs w:val="28"/>
          <w:lang w:val="en-US" w:eastAsia="en-AU"/>
        </w:rPr>
      </w:pPr>
      <w:r>
        <w:br w:type="page"/>
      </w:r>
    </w:p>
    <w:p w14:paraId="2C45C6C5" w14:textId="750B548C" w:rsidR="008473F6" w:rsidRPr="00A12079" w:rsidRDefault="008473F6" w:rsidP="00792F33">
      <w:pPr>
        <w:pStyle w:val="Heading3"/>
      </w:pPr>
      <w:r>
        <w:lastRenderedPageBreak/>
        <w:t xml:space="preserve">Supporting Queensland Government </w:t>
      </w:r>
      <w:r w:rsidR="00A73217">
        <w:t>O</w:t>
      </w:r>
      <w:r>
        <w:t>bjectives</w:t>
      </w:r>
    </w:p>
    <w:p w14:paraId="28AB2FE0" w14:textId="4EB76A28" w:rsidR="00E129BA" w:rsidRPr="00EF4E38" w:rsidRDefault="00E129BA" w:rsidP="00CF0A4C">
      <w:r>
        <w:t>We support</w:t>
      </w:r>
      <w:r w:rsidRPr="00EF4E38">
        <w:t xml:space="preserve"> the Queensland Government</w:t>
      </w:r>
      <w:r w:rsidR="00F319BF">
        <w:t>’s</w:t>
      </w:r>
      <w:r w:rsidRPr="00EF4E38">
        <w:t xml:space="preserve"> objectives for the community </w:t>
      </w:r>
      <w:r w:rsidR="00964BAC" w:rsidRPr="00A06463">
        <w:t>t</w:t>
      </w:r>
      <w:r w:rsidR="00964BAC" w:rsidRPr="00044D9F">
        <w:t>hrough</w:t>
      </w:r>
      <w:r w:rsidRPr="00EF4E38">
        <w:t>:</w:t>
      </w:r>
    </w:p>
    <w:p w14:paraId="4A587C7E" w14:textId="4DAFB07B" w:rsidR="00E129BA" w:rsidRPr="00EF4E38" w:rsidRDefault="009D2269" w:rsidP="00096C6C">
      <w:pPr>
        <w:pStyle w:val="Bullets"/>
      </w:pPr>
      <w:r>
        <w:t>d</w:t>
      </w:r>
      <w:r w:rsidR="00E129BA" w:rsidRPr="00EF4E38">
        <w:t xml:space="preserve">elivering quality frontline human services </w:t>
      </w:r>
      <w:r w:rsidR="00E129BA" w:rsidRPr="00964BAC">
        <w:t>by</w:t>
      </w:r>
      <w:r w:rsidR="00E129BA" w:rsidRPr="00EF4E38">
        <w:t xml:space="preserve"> providing responsive and integrated housing and homelessness services </w:t>
      </w:r>
    </w:p>
    <w:p w14:paraId="3FACB8A1" w14:textId="17C7D5CB" w:rsidR="00E129BA" w:rsidRPr="00EF4E38" w:rsidRDefault="009D2269" w:rsidP="00096C6C">
      <w:pPr>
        <w:pStyle w:val="Bullets"/>
      </w:pPr>
      <w:r>
        <w:t>c</w:t>
      </w:r>
      <w:r w:rsidR="00E129BA" w:rsidRPr="00EF4E38">
        <w:t xml:space="preserve">reating jobs and a diverse economy by promoting economic participation and </w:t>
      </w:r>
      <w:r w:rsidR="00FB60B4">
        <w:t>supporting</w:t>
      </w:r>
      <w:r w:rsidR="00FB60B4" w:rsidRPr="690957E2">
        <w:t xml:space="preserve"> </w:t>
      </w:r>
      <w:r w:rsidR="00E129BA" w:rsidRPr="00EF4E38">
        <w:t xml:space="preserve">economic growth through </w:t>
      </w:r>
      <w:r w:rsidR="00FB60B4">
        <w:t xml:space="preserve">safe and fair building policy, </w:t>
      </w:r>
      <w:r w:rsidR="00E129BA" w:rsidRPr="00EF4E38">
        <w:t xml:space="preserve">innovative </w:t>
      </w:r>
      <w:r w:rsidR="00FB60B4">
        <w:t xml:space="preserve">procurement and </w:t>
      </w:r>
      <w:r w:rsidR="00E129BA" w:rsidRPr="00EF4E38">
        <w:t xml:space="preserve">service delivery </w:t>
      </w:r>
    </w:p>
    <w:p w14:paraId="6033BD92" w14:textId="7FDFB81C" w:rsidR="00E129BA" w:rsidRPr="00EF4E38" w:rsidRDefault="009D2269" w:rsidP="00096C6C">
      <w:pPr>
        <w:pStyle w:val="Bullets"/>
      </w:pPr>
      <w:r>
        <w:t>b</w:t>
      </w:r>
      <w:r w:rsidR="00E129BA" w:rsidRPr="00EF4E38">
        <w:t xml:space="preserve">uilding safe, caring and connected communities by consulting and listening to the community to inform </w:t>
      </w:r>
      <w:r w:rsidR="00FB60B4">
        <w:t>our</w:t>
      </w:r>
      <w:r w:rsidR="00E129BA" w:rsidRPr="00EF4E38">
        <w:t xml:space="preserve"> polic</w:t>
      </w:r>
      <w:r w:rsidR="00FB60B4">
        <w:t>ies</w:t>
      </w:r>
      <w:r w:rsidR="00E129BA" w:rsidRPr="00EF4E38">
        <w:t xml:space="preserve"> and </w:t>
      </w:r>
      <w:r w:rsidR="00FB60B4">
        <w:t>service</w:t>
      </w:r>
      <w:r w:rsidR="00FB60B4" w:rsidRPr="690957E2">
        <w:t xml:space="preserve"> </w:t>
      </w:r>
      <w:r w:rsidR="00E129BA" w:rsidRPr="00EF4E38">
        <w:t>delivery</w:t>
      </w:r>
    </w:p>
    <w:p w14:paraId="416DB0DC" w14:textId="26AC06DD" w:rsidR="00D92068" w:rsidRPr="004C629A" w:rsidRDefault="009D2269" w:rsidP="00096C6C">
      <w:pPr>
        <w:pStyle w:val="Bullets"/>
      </w:pPr>
      <w:r>
        <w:t>p</w:t>
      </w:r>
      <w:r w:rsidR="00E129BA" w:rsidRPr="00EF4E38">
        <w:t>rotecting the environment by delivering sustainable built infrastructure</w:t>
      </w:r>
      <w:r w:rsidR="00FB60B4">
        <w:t xml:space="preserve"> and fleet management</w:t>
      </w:r>
      <w:r w:rsidR="00E129BA" w:rsidRPr="690957E2">
        <w:t>.</w:t>
      </w:r>
    </w:p>
    <w:p w14:paraId="113AE077" w14:textId="09CFBBC6" w:rsidR="0057060A" w:rsidRPr="00A12079" w:rsidRDefault="00C92A8A" w:rsidP="00792F33">
      <w:pPr>
        <w:pStyle w:val="Heading3"/>
      </w:pPr>
      <w:r>
        <w:t xml:space="preserve">Our </w:t>
      </w:r>
      <w:r w:rsidR="0057060A" w:rsidRPr="00A12079">
        <w:t>Operating Environment</w:t>
      </w:r>
    </w:p>
    <w:p w14:paraId="1AC1F54C" w14:textId="41E5DCA1" w:rsidR="0057060A" w:rsidRDefault="0057060A" w:rsidP="00CF0A4C">
      <w:r w:rsidRPr="00EF4E38">
        <w:t>A range of factors impacted on the Department of Housing and Public Works</w:t>
      </w:r>
      <w:r w:rsidR="00F84C96">
        <w:t>’ operating environment in 2016</w:t>
      </w:r>
      <w:r>
        <w:t>–</w:t>
      </w:r>
      <w:r w:rsidR="00F84C96">
        <w:t>17</w:t>
      </w:r>
      <w:r w:rsidRPr="00EF4E38">
        <w:t xml:space="preserve"> including:</w:t>
      </w:r>
    </w:p>
    <w:p w14:paraId="2481283D" w14:textId="77777777" w:rsidR="00F84C96" w:rsidRDefault="00F84C96" w:rsidP="00096C6C">
      <w:pPr>
        <w:pStyle w:val="Bullets"/>
      </w:pPr>
      <w:r>
        <w:t xml:space="preserve">the growing number of Queenslanders experiencing issues with housing access and affordability </w:t>
      </w:r>
    </w:p>
    <w:p w14:paraId="1E77DC6B" w14:textId="0AE8B8F2" w:rsidR="00F84C96" w:rsidRDefault="00F84C96" w:rsidP="00096C6C">
      <w:pPr>
        <w:pStyle w:val="Bullets"/>
      </w:pPr>
      <w:r>
        <w:t xml:space="preserve">the introduction of the National Disability Insurance Scheme (NDIS) in Queensland </w:t>
      </w:r>
      <w:r w:rsidR="005E2534">
        <w:t>on</w:t>
      </w:r>
      <w:r>
        <w:t xml:space="preserve"> 1 July 2016, </w:t>
      </w:r>
      <w:r w:rsidR="00AC028D">
        <w:t>impact</w:t>
      </w:r>
      <w:r w:rsidR="00664041">
        <w:t>ing</w:t>
      </w:r>
      <w:r>
        <w:t xml:space="preserve"> </w:t>
      </w:r>
      <w:r w:rsidR="00564CDC">
        <w:t xml:space="preserve">on </w:t>
      </w:r>
      <w:r>
        <w:t>the demand for accessible and affordable housing solutions</w:t>
      </w:r>
      <w:r w:rsidR="00AC028D">
        <w:t xml:space="preserve"> into the future</w:t>
      </w:r>
    </w:p>
    <w:p w14:paraId="00D4A6D1" w14:textId="77777777" w:rsidR="00F84C96" w:rsidRDefault="00F84C96" w:rsidP="00096C6C">
      <w:pPr>
        <w:pStyle w:val="Bullets"/>
      </w:pPr>
      <w:r>
        <w:t xml:space="preserve">long term funding arrangements with the Australian Government on the National Partnership on Remote Housing </w:t>
      </w:r>
    </w:p>
    <w:p w14:paraId="5F4795C8" w14:textId="4A3AD1A1" w:rsidR="00F84C96" w:rsidRDefault="005E2534" w:rsidP="00096C6C">
      <w:pPr>
        <w:pStyle w:val="Bullets"/>
      </w:pPr>
      <w:r>
        <w:t>the</w:t>
      </w:r>
      <w:r w:rsidR="00F84C96">
        <w:t xml:space="preserve"> renewed emphasis on environmental sustainability of buildings and the Queensland Government fleet, including climate change mitigation and energy saving initiatives </w:t>
      </w:r>
    </w:p>
    <w:p w14:paraId="194677AF" w14:textId="4FA65041" w:rsidR="00F84C96" w:rsidRPr="004D33AB" w:rsidRDefault="00453FAE" w:rsidP="00D675BC">
      <w:pPr>
        <w:pStyle w:val="Bullets"/>
      </w:pPr>
      <w:r>
        <w:t>exploration</w:t>
      </w:r>
      <w:r w:rsidR="00F84C96">
        <w:t xml:space="preserve"> of a new whole-of-government procurement operating model</w:t>
      </w:r>
      <w:r w:rsidR="00AC028D" w:rsidRPr="690957E2">
        <w:t>.</w:t>
      </w:r>
    </w:p>
    <w:p w14:paraId="790541B5" w14:textId="6AC031DA" w:rsidR="008366F2" w:rsidRDefault="008366F2" w:rsidP="00792F33">
      <w:pPr>
        <w:pStyle w:val="Heading3"/>
      </w:pPr>
      <w:r>
        <w:t>Managing Our Delivery Risks</w:t>
      </w:r>
    </w:p>
    <w:p w14:paraId="51870666" w14:textId="44DC941D" w:rsidR="00893B1E" w:rsidRDefault="0018732F" w:rsidP="00CF0A4C">
      <w:pPr>
        <w:rPr>
          <w:lang w:val="en-US"/>
        </w:rPr>
      </w:pPr>
      <w:r>
        <w:rPr>
          <w:lang w:val="en-US"/>
        </w:rPr>
        <w:t>E</w:t>
      </w:r>
      <w:r w:rsidR="00893B1E">
        <w:rPr>
          <w:lang w:val="en-US"/>
        </w:rPr>
        <w:t>ffective risk management</w:t>
      </w:r>
      <w:r w:rsidR="00893B1E" w:rsidDel="003757E2">
        <w:rPr>
          <w:lang w:val="en-US"/>
        </w:rPr>
        <w:t xml:space="preserve"> </w:t>
      </w:r>
      <w:r w:rsidR="00893B1E">
        <w:rPr>
          <w:lang w:val="en-US"/>
        </w:rPr>
        <w:t>help</w:t>
      </w:r>
      <w:r>
        <w:rPr>
          <w:lang w:val="en-US"/>
        </w:rPr>
        <w:t>s ensure our achievements and</w:t>
      </w:r>
      <w:r w:rsidR="00893B1E">
        <w:rPr>
          <w:lang w:val="en-US"/>
        </w:rPr>
        <w:t xml:space="preserve"> inform </w:t>
      </w:r>
      <w:r w:rsidR="003757E2">
        <w:rPr>
          <w:lang w:val="en-US"/>
        </w:rPr>
        <w:t xml:space="preserve">our </w:t>
      </w:r>
      <w:r w:rsidR="00893B1E">
        <w:rPr>
          <w:lang w:val="en-US"/>
        </w:rPr>
        <w:t xml:space="preserve">decision-making. We reviewed our department’s key risks in </w:t>
      </w:r>
      <w:r w:rsidR="00DB4400">
        <w:rPr>
          <w:lang w:val="en-US"/>
        </w:rPr>
        <w:t>consideration of</w:t>
      </w:r>
      <w:r w:rsidR="00B802E9" w:rsidDel="00DB4400">
        <w:rPr>
          <w:lang w:val="en-US"/>
        </w:rPr>
        <w:t xml:space="preserve"> </w:t>
      </w:r>
      <w:r w:rsidR="00893B1E">
        <w:rPr>
          <w:lang w:val="en-US"/>
        </w:rPr>
        <w:t>our changing environment</w:t>
      </w:r>
      <w:r w:rsidR="00DB4400">
        <w:rPr>
          <w:lang w:val="en-US"/>
        </w:rPr>
        <w:t>.</w:t>
      </w:r>
      <w:r w:rsidR="004F498D">
        <w:rPr>
          <w:lang w:val="en-US"/>
        </w:rPr>
        <w:t xml:space="preserve"> </w:t>
      </w:r>
      <w:r w:rsidR="00DB4400">
        <w:rPr>
          <w:lang w:val="en-US"/>
        </w:rPr>
        <w:t xml:space="preserve">This resulted in the confirmation of some existing risks and refinement of others. </w:t>
      </w:r>
      <w:r>
        <w:rPr>
          <w:lang w:val="en-US"/>
        </w:rPr>
        <w:t xml:space="preserve">We monitor the following </w:t>
      </w:r>
      <w:r w:rsidR="00893B1E">
        <w:rPr>
          <w:lang w:val="en-US"/>
        </w:rPr>
        <w:t xml:space="preserve">seven strategic risks </w:t>
      </w:r>
      <w:r w:rsidR="00DB4400">
        <w:rPr>
          <w:lang w:val="en-US"/>
        </w:rPr>
        <w:t xml:space="preserve">which might </w:t>
      </w:r>
      <w:r w:rsidR="00893B1E">
        <w:rPr>
          <w:lang w:val="en-US"/>
        </w:rPr>
        <w:t xml:space="preserve">potentially impact </w:t>
      </w:r>
      <w:r w:rsidR="007735F7">
        <w:rPr>
          <w:lang w:val="en-US"/>
        </w:rPr>
        <w:t xml:space="preserve">on </w:t>
      </w:r>
      <w:r w:rsidR="00893B1E">
        <w:rPr>
          <w:lang w:val="en-US"/>
        </w:rPr>
        <w:t xml:space="preserve">our service delivery </w:t>
      </w:r>
      <w:r w:rsidR="008366F2">
        <w:rPr>
          <w:lang w:val="en-US"/>
        </w:rPr>
        <w:t>each</w:t>
      </w:r>
      <w:r w:rsidR="004F498D">
        <w:rPr>
          <w:lang w:val="en-US"/>
        </w:rPr>
        <w:t xml:space="preserve"> </w:t>
      </w:r>
      <w:r w:rsidR="00893B1E">
        <w:rPr>
          <w:lang w:val="en-US"/>
        </w:rPr>
        <w:t>quarter:</w:t>
      </w:r>
    </w:p>
    <w:p w14:paraId="1351FE23" w14:textId="48FE91EE" w:rsidR="00893B1E" w:rsidRPr="002E533B" w:rsidRDefault="007735F7" w:rsidP="00096C6C">
      <w:pPr>
        <w:pStyle w:val="Bullets"/>
      </w:pPr>
      <w:r>
        <w:t xml:space="preserve">social/human </w:t>
      </w:r>
      <w:r w:rsidR="009323AB">
        <w:t>s</w:t>
      </w:r>
      <w:r w:rsidR="00893B1E" w:rsidRPr="002E533B">
        <w:t xml:space="preserve">ervices meeting </w:t>
      </w:r>
      <w:r w:rsidR="00B802E9">
        <w:t xml:space="preserve">client </w:t>
      </w:r>
      <w:r w:rsidR="00893B1E" w:rsidRPr="002E533B">
        <w:t>needs</w:t>
      </w:r>
    </w:p>
    <w:p w14:paraId="4B8F4215" w14:textId="586EC741" w:rsidR="00893B1E" w:rsidRPr="002E533B" w:rsidRDefault="007735F7" w:rsidP="00096C6C">
      <w:pPr>
        <w:pStyle w:val="Bullets"/>
      </w:pPr>
      <w:r>
        <w:t xml:space="preserve">business </w:t>
      </w:r>
      <w:r w:rsidR="00B802E9">
        <w:t>service</w:t>
      </w:r>
      <w:r w:rsidR="00DB4400">
        <w:t>s</w:t>
      </w:r>
      <w:r w:rsidR="00B802E9">
        <w:t xml:space="preserve"> and products address</w:t>
      </w:r>
      <w:r>
        <w:t>ing</w:t>
      </w:r>
      <w:r w:rsidR="00B802E9">
        <w:t xml:space="preserve"> customer requirements</w:t>
      </w:r>
    </w:p>
    <w:p w14:paraId="51E6F067" w14:textId="7B696165" w:rsidR="00893B1E" w:rsidRPr="002E533B" w:rsidRDefault="009323AB" w:rsidP="00096C6C">
      <w:pPr>
        <w:pStyle w:val="Bullets"/>
      </w:pPr>
      <w:r>
        <w:t>o</w:t>
      </w:r>
      <w:r w:rsidR="00893B1E" w:rsidRPr="002E533B">
        <w:t>utcomes for Aboriginal and Torres Strait Islander peoples</w:t>
      </w:r>
    </w:p>
    <w:p w14:paraId="23A171EB" w14:textId="14CA5CE6" w:rsidR="00893B1E" w:rsidRPr="002E533B" w:rsidRDefault="009323AB" w:rsidP="00096C6C">
      <w:pPr>
        <w:pStyle w:val="Bullets"/>
      </w:pPr>
      <w:r>
        <w:t>o</w:t>
      </w:r>
      <w:r w:rsidR="00893B1E" w:rsidRPr="002E533B">
        <w:t>ur workforce capability</w:t>
      </w:r>
    </w:p>
    <w:p w14:paraId="039BF754" w14:textId="5D2AF45A" w:rsidR="00893B1E" w:rsidRPr="002E533B" w:rsidRDefault="009323AB" w:rsidP="00D675BC">
      <w:pPr>
        <w:pStyle w:val="Bullets"/>
      </w:pPr>
      <w:r>
        <w:t>p</w:t>
      </w:r>
      <w:r w:rsidR="00893B1E" w:rsidRPr="002E533B">
        <w:t>rotecting workers and people from harm to their health, safety and wel</w:t>
      </w:r>
      <w:r w:rsidR="00BC3830">
        <w:t>lbeing</w:t>
      </w:r>
    </w:p>
    <w:p w14:paraId="116BF26A" w14:textId="5B633CEB" w:rsidR="00893B1E" w:rsidRPr="002E533B" w:rsidRDefault="009323AB" w:rsidP="00E05961">
      <w:pPr>
        <w:pStyle w:val="Bullets"/>
      </w:pPr>
      <w:r>
        <w:t>b</w:t>
      </w:r>
      <w:r w:rsidR="00893B1E" w:rsidRPr="002E533B">
        <w:t>usiness systems or ICT infrastructure</w:t>
      </w:r>
      <w:r w:rsidR="00727A5D">
        <w:t xml:space="preserve"> meeting core strategic needs</w:t>
      </w:r>
    </w:p>
    <w:p w14:paraId="753F7604" w14:textId="0924E4DB" w:rsidR="00893B1E" w:rsidRPr="002E533B" w:rsidRDefault="009323AB">
      <w:pPr>
        <w:pStyle w:val="Bullets"/>
      </w:pPr>
      <w:r>
        <w:t>a</w:t>
      </w:r>
      <w:r w:rsidR="00727A5D">
        <w:t>ligning plans and resources to strategic direction and priorities</w:t>
      </w:r>
      <w:r w:rsidR="00DB4400" w:rsidRPr="690957E2">
        <w:t>.</w:t>
      </w:r>
    </w:p>
    <w:p w14:paraId="2D70F888" w14:textId="77777777" w:rsidR="00EF3E8F" w:rsidRDefault="00EF3E8F" w:rsidP="00792F33">
      <w:pPr>
        <w:pStyle w:val="Heading3"/>
      </w:pPr>
      <w:r>
        <w:t>Our Values</w:t>
      </w:r>
    </w:p>
    <w:p w14:paraId="61FB4681" w14:textId="3CD8A3FF" w:rsidR="00EF3E8F" w:rsidRDefault="001A043D" w:rsidP="00CF0A4C">
      <w:r>
        <w:t xml:space="preserve">We are committed to integrity and accountability, with our values underpinning everything we do. </w:t>
      </w:r>
      <w:r w:rsidR="00EF3E8F">
        <w:t>Our people are engaged in what they do</w:t>
      </w:r>
      <w:r w:rsidR="00624574" w:rsidRPr="1BAFF9A0">
        <w:t>,</w:t>
      </w:r>
      <w:r w:rsidR="00EF3E8F">
        <w:t xml:space="preserve"> and a</w:t>
      </w:r>
      <w:r w:rsidR="00BA3BD8">
        <w:t>r</w:t>
      </w:r>
      <w:r w:rsidR="00EF3E8F">
        <w:t>e committed to</w:t>
      </w:r>
      <w:r>
        <w:t xml:space="preserve"> the following core public service values as well as the additional value of a healthy and safe work</w:t>
      </w:r>
      <w:r w:rsidR="00BA3BD8">
        <w:t>force</w:t>
      </w:r>
      <w:r w:rsidR="009D2269" w:rsidRPr="1BAFF9A0">
        <w:t>.</w:t>
      </w:r>
    </w:p>
    <w:p w14:paraId="7B0884E1" w14:textId="54A0BFA1" w:rsidR="00D675BC" w:rsidRDefault="00D675BC" w:rsidP="00D675BC">
      <w:pPr>
        <w:pStyle w:val="Bullets"/>
      </w:pPr>
      <w:r>
        <w:t>Customers first</w:t>
      </w:r>
    </w:p>
    <w:p w14:paraId="35E4705C" w14:textId="3A139DE1" w:rsidR="00D675BC" w:rsidRDefault="00D675BC" w:rsidP="00D675BC">
      <w:pPr>
        <w:pStyle w:val="Bullets"/>
      </w:pPr>
      <w:r>
        <w:t>Ideas into action</w:t>
      </w:r>
    </w:p>
    <w:p w14:paraId="1D9C9F90" w14:textId="0BEBA6AF" w:rsidR="00D675BC" w:rsidRDefault="00D675BC" w:rsidP="00D675BC">
      <w:pPr>
        <w:pStyle w:val="Bullets"/>
      </w:pPr>
      <w:r>
        <w:t>Unleash potential</w:t>
      </w:r>
    </w:p>
    <w:p w14:paraId="6A6632F5" w14:textId="4CB93B56" w:rsidR="00D675BC" w:rsidRDefault="00D675BC" w:rsidP="00D675BC">
      <w:pPr>
        <w:pStyle w:val="Bullets"/>
      </w:pPr>
      <w:r>
        <w:t>Be courageous</w:t>
      </w:r>
    </w:p>
    <w:p w14:paraId="4C4AB3E8" w14:textId="46F6D401" w:rsidR="00D675BC" w:rsidRDefault="00D675BC" w:rsidP="00D675BC">
      <w:pPr>
        <w:pStyle w:val="Bullets"/>
      </w:pPr>
      <w:r>
        <w:lastRenderedPageBreak/>
        <w:t>Empower people</w:t>
      </w:r>
    </w:p>
    <w:p w14:paraId="0EBF2882" w14:textId="0AC2B893" w:rsidR="00EC0982" w:rsidRDefault="00D675BC" w:rsidP="00CF0A4C">
      <w:pPr>
        <w:pStyle w:val="Bullets"/>
      </w:pPr>
      <w:r>
        <w:t>Healthy and safe workforce</w:t>
      </w:r>
    </w:p>
    <w:p w14:paraId="1662D076" w14:textId="77777777" w:rsidR="00EC0982" w:rsidRDefault="00EC0982" w:rsidP="00CF0A4C"/>
    <w:p w14:paraId="3070474A" w14:textId="77777777" w:rsidR="00F8333A" w:rsidRDefault="00F8333A" w:rsidP="005D3ADE">
      <w:pPr>
        <w:pStyle w:val="Heading1"/>
      </w:pPr>
      <w:bookmarkStart w:id="12" w:name="_Toc458777579"/>
      <w:bookmarkStart w:id="13" w:name="_Toc494984616"/>
      <w:r>
        <w:t>Organisational Structure</w:t>
      </w:r>
      <w:bookmarkEnd w:id="12"/>
      <w:bookmarkEnd w:id="13"/>
    </w:p>
    <w:p w14:paraId="53B1F46C" w14:textId="3ED51254" w:rsidR="00F8333A" w:rsidRPr="00EF4E38" w:rsidRDefault="00260492" w:rsidP="00CF0A4C">
      <w:r>
        <w:t>As at 30 June 2017</w:t>
      </w:r>
      <w:r w:rsidR="00DF7637">
        <w:t>, t</w:t>
      </w:r>
      <w:r w:rsidR="00F8333A" w:rsidRPr="00EF4E38">
        <w:t>he department consist</w:t>
      </w:r>
      <w:r w:rsidR="004F3BBC">
        <w:t>ed</w:t>
      </w:r>
      <w:r w:rsidR="00F8333A" w:rsidRPr="00EF4E38">
        <w:t xml:space="preserve"> of </w:t>
      </w:r>
      <w:r w:rsidR="006E356D">
        <w:t>five</w:t>
      </w:r>
      <w:r w:rsidR="006E356D" w:rsidRPr="00EF4E38">
        <w:t xml:space="preserve"> </w:t>
      </w:r>
      <w:r w:rsidR="00F8333A" w:rsidRPr="00EF4E38">
        <w:t xml:space="preserve">divisions: Housing and Homelessness Services, </w:t>
      </w:r>
      <w:r>
        <w:t>Queensland Government Procurement</w:t>
      </w:r>
      <w:r w:rsidR="00F8333A" w:rsidRPr="00EF4E38">
        <w:t xml:space="preserve">, </w:t>
      </w:r>
      <w:r>
        <w:t xml:space="preserve">Public Works and Asset Management, </w:t>
      </w:r>
      <w:r w:rsidR="00F8333A" w:rsidRPr="00EF4E38">
        <w:t>Building Industry and Policy, and Corporate Services</w:t>
      </w:r>
      <w:r w:rsidR="008954E4">
        <w:t xml:space="preserve"> and the Aboriginal and Torres Strait Islander </w:t>
      </w:r>
      <w:r w:rsidR="000F5C25">
        <w:t>Strategy Unit which reported</w:t>
      </w:r>
      <w:r w:rsidR="009E2256">
        <w:t xml:space="preserve"> directly</w:t>
      </w:r>
      <w:r w:rsidR="000F5C25">
        <w:t xml:space="preserve"> to the Director-General</w:t>
      </w:r>
      <w:r w:rsidR="00F8333A" w:rsidRPr="00EF4E38">
        <w:t xml:space="preserve">. </w:t>
      </w:r>
      <w:r w:rsidR="00F8333A">
        <w:t>Our</w:t>
      </w:r>
      <w:r w:rsidR="00F8333A" w:rsidRPr="00EF4E38">
        <w:t xml:space="preserve"> services are delivered through </w:t>
      </w:r>
      <w:r w:rsidR="00F8333A">
        <w:t xml:space="preserve">a network of </w:t>
      </w:r>
      <w:r w:rsidR="00F8333A" w:rsidRPr="00EF4E38">
        <w:t xml:space="preserve">regional offices in Queensland. These offices are coordinated by district offices and a central office in Brisbane. The office locations and contact details are on pages </w:t>
      </w:r>
      <w:r w:rsidR="004D5487">
        <w:t>70 to 86.</w:t>
      </w:r>
    </w:p>
    <w:p w14:paraId="6CFAA67A" w14:textId="77777777" w:rsidR="00F8333A" w:rsidRPr="00A12079" w:rsidRDefault="00F8333A" w:rsidP="00792F33">
      <w:pPr>
        <w:pStyle w:val="Heading3"/>
      </w:pPr>
      <w:r w:rsidRPr="00A12079">
        <w:t>Structural Change</w:t>
      </w:r>
    </w:p>
    <w:p w14:paraId="66D18EF4" w14:textId="729B059C" w:rsidR="00F8333A" w:rsidRDefault="00F8333A" w:rsidP="00CF0A4C">
      <w:r w:rsidRPr="00EF4E38">
        <w:t xml:space="preserve">In </w:t>
      </w:r>
      <w:r w:rsidR="00443B44">
        <w:t>2016</w:t>
      </w:r>
      <w:r w:rsidR="009A558D">
        <w:t>–</w:t>
      </w:r>
      <w:r w:rsidR="00443B44">
        <w:t>17</w:t>
      </w:r>
      <w:r w:rsidR="002F59ED">
        <w:t>,</w:t>
      </w:r>
      <w:r>
        <w:t xml:space="preserve"> the following structural changes occurred</w:t>
      </w:r>
      <w:r w:rsidR="00165B5F">
        <w:t xml:space="preserve"> to ensure that our department is well positioned to meet the Government’s priorities and respond to changes in strategic direction for the delivery of housing and homelessness services, procurement and built asset management</w:t>
      </w:r>
      <w:r>
        <w:t>:</w:t>
      </w:r>
    </w:p>
    <w:p w14:paraId="752FCB3D" w14:textId="2D8C1866" w:rsidR="009521A4" w:rsidRPr="007B1D68" w:rsidRDefault="009521A4" w:rsidP="00096C6C">
      <w:pPr>
        <w:pStyle w:val="Bullets"/>
      </w:pPr>
      <w:r w:rsidRPr="007B1D68">
        <w:t>Queensland Government Procurement</w:t>
      </w:r>
      <w:r w:rsidR="00492F1C">
        <w:t xml:space="preserve"> </w:t>
      </w:r>
      <w:r w:rsidR="0018732F">
        <w:t>division</w:t>
      </w:r>
      <w:r w:rsidR="00492F1C">
        <w:t xml:space="preserve"> </w:t>
      </w:r>
      <w:r w:rsidRPr="007B1D68">
        <w:t>was created</w:t>
      </w:r>
      <w:r w:rsidR="00D6776E">
        <w:t>,</w:t>
      </w:r>
      <w:r w:rsidRPr="007B1D68">
        <w:t xml:space="preserve"> replacing the Procurement Transformation Division</w:t>
      </w:r>
      <w:r w:rsidR="00E5556D">
        <w:t xml:space="preserve"> to deliver a new whole-of-government, agency-led, centrally enabled procurement model in Queensland</w:t>
      </w:r>
      <w:r w:rsidRPr="007B1D68">
        <w:t>.</w:t>
      </w:r>
    </w:p>
    <w:p w14:paraId="6918B67C" w14:textId="42915C1C" w:rsidR="00235AB9" w:rsidRDefault="00445938" w:rsidP="00096C6C">
      <w:pPr>
        <w:pStyle w:val="Bullets"/>
      </w:pPr>
      <w:r>
        <w:t>a</w:t>
      </w:r>
      <w:r w:rsidR="00235AB9">
        <w:t xml:space="preserve"> new </w:t>
      </w:r>
      <w:r w:rsidR="001F3870">
        <w:t xml:space="preserve">Public Works and Asset Management </w:t>
      </w:r>
      <w:r w:rsidR="002F22E7">
        <w:t>d</w:t>
      </w:r>
      <w:r w:rsidR="001F3870">
        <w:t>ivision was created</w:t>
      </w:r>
      <w:r w:rsidR="00165B5F">
        <w:t xml:space="preserve"> to improve collaboration, information flow and integration of service delivery across the built asset and facility management functions of the department</w:t>
      </w:r>
      <w:r w:rsidR="00E5556D">
        <w:t>.</w:t>
      </w:r>
    </w:p>
    <w:p w14:paraId="71BB76F0" w14:textId="20B8FBE0" w:rsidR="00490D3F" w:rsidRDefault="00445938" w:rsidP="00096C6C">
      <w:pPr>
        <w:pStyle w:val="Bullets"/>
      </w:pPr>
      <w:r>
        <w:t>t</w:t>
      </w:r>
      <w:r w:rsidR="00E91B9A">
        <w:t>he Strategic Asset Management division</w:t>
      </w:r>
      <w:r w:rsidR="000D5C05">
        <w:t xml:space="preserve"> was </w:t>
      </w:r>
      <w:r w:rsidR="002F22E7">
        <w:t>realigned</w:t>
      </w:r>
      <w:r w:rsidR="003727C4" w:rsidRPr="690957E2">
        <w:t>:</w:t>
      </w:r>
      <w:r w:rsidR="00490D3F" w:rsidRPr="690957E2">
        <w:t xml:space="preserve"> </w:t>
      </w:r>
    </w:p>
    <w:p w14:paraId="2A6DAD64" w14:textId="6B589370" w:rsidR="00490D3F" w:rsidRDefault="00490D3F" w:rsidP="00096C6C">
      <w:pPr>
        <w:pStyle w:val="ARsub-bullets"/>
      </w:pPr>
      <w:r>
        <w:t>QFleet was relocated under the new Qu</w:t>
      </w:r>
      <w:r w:rsidR="002F22E7">
        <w:t>eensland Government Procurement</w:t>
      </w:r>
      <w:r w:rsidR="000D5C05" w:rsidRPr="5E3A9904">
        <w:t xml:space="preserve"> </w:t>
      </w:r>
      <w:r w:rsidR="0018732F">
        <w:t>division</w:t>
      </w:r>
    </w:p>
    <w:p w14:paraId="18B00F00" w14:textId="479CA794" w:rsidR="000D5C05" w:rsidRDefault="00527100" w:rsidP="00D675BC">
      <w:pPr>
        <w:pStyle w:val="ARsub-bullets"/>
      </w:pPr>
      <w:r>
        <w:t xml:space="preserve">Government Employee Housing, Queensland Government </w:t>
      </w:r>
      <w:r w:rsidR="00541DB5">
        <w:t>Accommodation</w:t>
      </w:r>
      <w:r>
        <w:t xml:space="preserve"> Office, </w:t>
      </w:r>
      <w:r w:rsidR="00541DB5">
        <w:t>and the Disaster Coordination Unit</w:t>
      </w:r>
      <w:r w:rsidR="00235AB9">
        <w:t xml:space="preserve"> were relocated to form part of the newly formed </w:t>
      </w:r>
      <w:r w:rsidR="000D5C05">
        <w:t xml:space="preserve">Public Works and Asset Management </w:t>
      </w:r>
      <w:r w:rsidR="009A1E4D">
        <w:t>d</w:t>
      </w:r>
      <w:r w:rsidR="000D5C05">
        <w:t>ivision</w:t>
      </w:r>
    </w:p>
    <w:p w14:paraId="696029CC" w14:textId="41460694" w:rsidR="00876D9D" w:rsidRDefault="00876D9D" w:rsidP="00E05961">
      <w:pPr>
        <w:pStyle w:val="ARsub-bullets"/>
      </w:pPr>
      <w:r>
        <w:t xml:space="preserve">Queensland Government Gazette was relocated to </w:t>
      </w:r>
      <w:r w:rsidR="008B102D">
        <w:t xml:space="preserve">Corporate </w:t>
      </w:r>
      <w:r>
        <w:t>Services</w:t>
      </w:r>
      <w:r w:rsidR="00E5556D">
        <w:t xml:space="preserve"> to be integrated with other publication responsibilities</w:t>
      </w:r>
      <w:r>
        <w:t>.</w:t>
      </w:r>
    </w:p>
    <w:p w14:paraId="1B1B5B20" w14:textId="5FD5C1BD" w:rsidR="00E91B9A" w:rsidRDefault="00A4477A">
      <w:pPr>
        <w:pStyle w:val="Bullets"/>
      </w:pPr>
      <w:r>
        <w:t xml:space="preserve">Building and Asset Services </w:t>
      </w:r>
      <w:r w:rsidR="001F3870">
        <w:t>became</w:t>
      </w:r>
      <w:r w:rsidR="00876D9D">
        <w:t xml:space="preserve"> a business area under </w:t>
      </w:r>
      <w:r w:rsidR="003727C4">
        <w:t xml:space="preserve">the </w:t>
      </w:r>
      <w:r w:rsidR="00876D9D">
        <w:t>Public Works and Asset Management</w:t>
      </w:r>
      <w:r w:rsidR="003727C4">
        <w:t xml:space="preserve"> </w:t>
      </w:r>
      <w:r w:rsidR="00044D9F">
        <w:t>d</w:t>
      </w:r>
      <w:r w:rsidR="003727C4">
        <w:t>ivision</w:t>
      </w:r>
      <w:r w:rsidR="00876D9D" w:rsidRPr="690957E2">
        <w:t>.</w:t>
      </w:r>
    </w:p>
    <w:p w14:paraId="6B41A0B3" w14:textId="5D877D67" w:rsidR="00894F8C" w:rsidRDefault="00894F8C">
      <w:pPr>
        <w:pStyle w:val="Bullets"/>
      </w:pPr>
      <w:r>
        <w:t xml:space="preserve">Building Industry and Policy </w:t>
      </w:r>
      <w:r w:rsidR="0018732F">
        <w:t xml:space="preserve">division </w:t>
      </w:r>
      <w:r>
        <w:t>increased to include the role of whole-of-</w:t>
      </w:r>
      <w:r w:rsidR="00492F1C">
        <w:t>g</w:t>
      </w:r>
      <w:r>
        <w:t>overnment lead agency for the Building Construction and Maintenance (BCM) category</w:t>
      </w:r>
      <w:r w:rsidR="00A32660">
        <w:t xml:space="preserve"> and </w:t>
      </w:r>
      <w:r>
        <w:t xml:space="preserve">Contract Services </w:t>
      </w:r>
      <w:r w:rsidR="00F650D8">
        <w:t>which dev</w:t>
      </w:r>
      <w:r w:rsidR="00767601">
        <w:t>elops and maintain</w:t>
      </w:r>
      <w:r w:rsidR="00360C96">
        <w:t xml:space="preserve">s best practice tendering and contracts for </w:t>
      </w:r>
      <w:r w:rsidR="00044D9F">
        <w:t>g</w:t>
      </w:r>
      <w:r w:rsidR="00360C96">
        <w:t>overnment building projects.</w:t>
      </w:r>
    </w:p>
    <w:p w14:paraId="770B8F4E" w14:textId="73A38C93" w:rsidR="00443B44" w:rsidRPr="001C5FCD" w:rsidRDefault="00445938">
      <w:pPr>
        <w:pStyle w:val="Bullets"/>
        <w:rPr>
          <w:rFonts w:ascii="Calibri" w:hAnsi="Calibri"/>
        </w:rPr>
      </w:pPr>
      <w:r>
        <w:t>t</w:t>
      </w:r>
      <w:r w:rsidR="00475D3C">
        <w:t xml:space="preserve">he </w:t>
      </w:r>
      <w:r w:rsidR="00C86749">
        <w:t xml:space="preserve">Housing and Homelessness Services </w:t>
      </w:r>
      <w:r w:rsidR="00475D3C">
        <w:t xml:space="preserve">division </w:t>
      </w:r>
      <w:r w:rsidR="00C86749">
        <w:t xml:space="preserve">implemented </w:t>
      </w:r>
      <w:r w:rsidR="00475D3C">
        <w:t xml:space="preserve">final phases of </w:t>
      </w:r>
      <w:r w:rsidR="00C86749">
        <w:t>an organisational reshape to better position the delivery of contemporary human services to Queensland’s most vulnerable people.</w:t>
      </w:r>
    </w:p>
    <w:p w14:paraId="71E3C43B" w14:textId="58CC1724" w:rsidR="00F8333A" w:rsidRDefault="00F8333A" w:rsidP="00CF0A4C"/>
    <w:p w14:paraId="45E2A28A" w14:textId="77777777" w:rsidR="0050467C" w:rsidRDefault="0050467C" w:rsidP="00CF0A4C">
      <w:pPr>
        <w:sectPr w:rsidR="0050467C" w:rsidSect="00BE44EB">
          <w:pgSz w:w="11906" w:h="16838"/>
          <w:pgMar w:top="1440" w:right="1021" w:bottom="1440" w:left="1021" w:header="709" w:footer="709" w:gutter="0"/>
          <w:cols w:space="708"/>
          <w:docGrid w:linePitch="360"/>
        </w:sectPr>
      </w:pPr>
    </w:p>
    <w:p w14:paraId="49EC003F" w14:textId="0493EDF9" w:rsidR="00F8333A" w:rsidRPr="007C4D5D" w:rsidRDefault="00A51DA6" w:rsidP="005D3ADE">
      <w:pPr>
        <w:pStyle w:val="Heading1"/>
      </w:pPr>
      <w:bookmarkStart w:id="14" w:name="_Toc458777580"/>
      <w:bookmarkStart w:id="15" w:name="_Toc494984617"/>
      <w:r>
        <w:lastRenderedPageBreak/>
        <w:t xml:space="preserve">Our </w:t>
      </w:r>
      <w:r w:rsidR="00F8333A" w:rsidRPr="007C4D5D">
        <w:t>Organisational Structure</w:t>
      </w:r>
      <w:bookmarkEnd w:id="14"/>
      <w:bookmarkEnd w:id="15"/>
    </w:p>
    <w:p w14:paraId="7D72867E" w14:textId="77777777" w:rsidR="00274195" w:rsidRDefault="00274195" w:rsidP="00274195">
      <w:pPr>
        <w:pStyle w:val="Heading2"/>
        <w:spacing w:before="300" w:after="150"/>
        <w:rPr>
          <w:rFonts w:ascii="Helvetica" w:hAnsi="Helvetica"/>
          <w:b w:val="0"/>
          <w:color w:val="333333"/>
          <w:sz w:val="38"/>
          <w:szCs w:val="38"/>
        </w:rPr>
      </w:pPr>
      <w:r>
        <w:rPr>
          <w:rFonts w:ascii="Helvetica" w:hAnsi="Helvetica"/>
          <w:b w:val="0"/>
          <w:bCs/>
          <w:color w:val="333333"/>
          <w:sz w:val="38"/>
          <w:szCs w:val="38"/>
        </w:rPr>
        <w:t>Minister for Housing and Public Works</w:t>
      </w:r>
    </w:p>
    <w:p w14:paraId="2D9E7DEB" w14:textId="77777777" w:rsidR="00274195" w:rsidRDefault="00274195" w:rsidP="00274195">
      <w:pPr>
        <w:pStyle w:val="Heading3"/>
        <w:spacing w:before="300" w:after="150"/>
        <w:rPr>
          <w:rFonts w:ascii="Helvetica" w:hAnsi="Helvetica"/>
          <w:b/>
          <w:bCs/>
          <w:color w:val="333333"/>
          <w:sz w:val="30"/>
          <w:szCs w:val="30"/>
        </w:rPr>
      </w:pPr>
      <w:r>
        <w:rPr>
          <w:rFonts w:ascii="Helvetica" w:hAnsi="Helvetica"/>
          <w:b/>
          <w:bCs/>
          <w:color w:val="333333"/>
          <w:sz w:val="30"/>
          <w:szCs w:val="30"/>
        </w:rPr>
        <w:t>Executive Director, Aboriginal &amp; Torres Strait Islander Strategy Unit</w:t>
      </w:r>
    </w:p>
    <w:p w14:paraId="34517AD0" w14:textId="77777777" w:rsidR="00274195" w:rsidRDefault="00274195" w:rsidP="00274195">
      <w:pPr>
        <w:pStyle w:val="Heading3"/>
        <w:spacing w:before="300" w:after="150"/>
        <w:rPr>
          <w:rFonts w:ascii="Helvetica" w:hAnsi="Helvetica"/>
          <w:b/>
          <w:bCs/>
          <w:color w:val="333333"/>
          <w:sz w:val="30"/>
          <w:szCs w:val="30"/>
        </w:rPr>
      </w:pPr>
      <w:r>
        <w:rPr>
          <w:rFonts w:ascii="Helvetica" w:hAnsi="Helvetica"/>
          <w:b/>
          <w:bCs/>
          <w:color w:val="333333"/>
          <w:sz w:val="30"/>
          <w:szCs w:val="30"/>
        </w:rPr>
        <w:t>Director, Internal Audit</w:t>
      </w:r>
    </w:p>
    <w:p w14:paraId="34E13A41" w14:textId="77777777" w:rsidR="00274195" w:rsidRDefault="00274195" w:rsidP="00274195">
      <w:pPr>
        <w:pStyle w:val="Heading3"/>
        <w:spacing w:before="300" w:after="150"/>
        <w:rPr>
          <w:rFonts w:ascii="Helvetica" w:hAnsi="Helvetica"/>
          <w:b/>
          <w:bCs/>
          <w:color w:val="333333"/>
          <w:sz w:val="30"/>
          <w:szCs w:val="30"/>
        </w:rPr>
      </w:pPr>
      <w:r>
        <w:rPr>
          <w:rFonts w:ascii="Helvetica" w:hAnsi="Helvetica"/>
          <w:b/>
          <w:bCs/>
          <w:color w:val="333333"/>
          <w:sz w:val="30"/>
          <w:szCs w:val="30"/>
        </w:rPr>
        <w:t>Director-General, Department of Housing and Public Works</w:t>
      </w:r>
    </w:p>
    <w:p w14:paraId="3F84AE66" w14:textId="77777777" w:rsidR="00274195" w:rsidRDefault="00274195" w:rsidP="00274195">
      <w:pPr>
        <w:pStyle w:val="Heading4"/>
        <w:spacing w:before="150" w:after="150"/>
        <w:rPr>
          <w:rFonts w:ascii="Helvetica" w:hAnsi="Helvetica"/>
          <w:b/>
          <w:bCs/>
          <w:color w:val="333333"/>
          <w:sz w:val="27"/>
          <w:szCs w:val="27"/>
        </w:rPr>
      </w:pPr>
      <w:r>
        <w:rPr>
          <w:rFonts w:ascii="Helvetica" w:hAnsi="Helvetica"/>
          <w:b/>
          <w:bCs/>
          <w:color w:val="333333"/>
          <w:sz w:val="27"/>
          <w:szCs w:val="27"/>
        </w:rPr>
        <w:t>Deputy-Director, Housing and Homelessness Services</w:t>
      </w:r>
    </w:p>
    <w:p w14:paraId="60235046" w14:textId="77777777" w:rsidR="00274195" w:rsidRDefault="00274195" w:rsidP="00DC4782">
      <w:pPr>
        <w:numPr>
          <w:ilvl w:val="0"/>
          <w:numId w:val="21"/>
        </w:numPr>
        <w:spacing w:before="100" w:beforeAutospacing="1" w:after="100" w:afterAutospacing="1"/>
        <w:rPr>
          <w:rFonts w:ascii="Helvetica" w:hAnsi="Helvetica"/>
          <w:color w:val="333333"/>
          <w:sz w:val="21"/>
          <w:szCs w:val="21"/>
        </w:rPr>
      </w:pPr>
      <w:r>
        <w:rPr>
          <w:rFonts w:ascii="Helvetica" w:hAnsi="Helvetica"/>
          <w:color w:val="333333"/>
          <w:sz w:val="21"/>
          <w:szCs w:val="21"/>
        </w:rPr>
        <w:t>General Manager, Strategy, Policy and Programs</w:t>
      </w:r>
    </w:p>
    <w:p w14:paraId="45CB89BC" w14:textId="77777777" w:rsidR="00274195" w:rsidRDefault="00274195" w:rsidP="00DC4782">
      <w:pPr>
        <w:numPr>
          <w:ilvl w:val="0"/>
          <w:numId w:val="21"/>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Strategy, Policy and Research</w:t>
      </w:r>
    </w:p>
    <w:p w14:paraId="2C6FD840" w14:textId="77777777" w:rsidR="00274195" w:rsidRDefault="00274195" w:rsidP="00DC4782">
      <w:pPr>
        <w:numPr>
          <w:ilvl w:val="0"/>
          <w:numId w:val="21"/>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Strategic Projects and Service Innovation</w:t>
      </w:r>
    </w:p>
    <w:p w14:paraId="59C7D8C1" w14:textId="77777777" w:rsidR="00274195" w:rsidRDefault="00274195" w:rsidP="00DC4782">
      <w:pPr>
        <w:numPr>
          <w:ilvl w:val="0"/>
          <w:numId w:val="21"/>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Programs</w:t>
      </w:r>
    </w:p>
    <w:p w14:paraId="62D34538" w14:textId="77777777" w:rsidR="00274195" w:rsidRDefault="00274195" w:rsidP="00DC4782">
      <w:pPr>
        <w:numPr>
          <w:ilvl w:val="0"/>
          <w:numId w:val="21"/>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Capital and Assets</w:t>
      </w:r>
    </w:p>
    <w:p w14:paraId="5E135EC4" w14:textId="77777777" w:rsidR="00274195" w:rsidRDefault="00274195" w:rsidP="00DC4782">
      <w:pPr>
        <w:numPr>
          <w:ilvl w:val="0"/>
          <w:numId w:val="22"/>
        </w:numPr>
        <w:spacing w:before="100" w:beforeAutospacing="1" w:after="100" w:afterAutospacing="1"/>
        <w:rPr>
          <w:rFonts w:ascii="Helvetica" w:hAnsi="Helvetica"/>
          <w:color w:val="333333"/>
          <w:sz w:val="21"/>
          <w:szCs w:val="21"/>
        </w:rPr>
      </w:pPr>
      <w:r>
        <w:rPr>
          <w:rFonts w:ascii="Helvetica" w:hAnsi="Helvetica"/>
          <w:color w:val="333333"/>
          <w:sz w:val="21"/>
          <w:szCs w:val="21"/>
        </w:rPr>
        <w:t>General Manager, Service Delivery</w:t>
      </w:r>
    </w:p>
    <w:p w14:paraId="282774D9" w14:textId="77777777" w:rsidR="00274195" w:rsidRDefault="00274195" w:rsidP="00DC4782">
      <w:pPr>
        <w:numPr>
          <w:ilvl w:val="0"/>
          <w:numId w:val="22"/>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Service Delivery</w:t>
      </w:r>
    </w:p>
    <w:p w14:paraId="0CBA750A" w14:textId="77777777" w:rsidR="00274195" w:rsidRDefault="00274195" w:rsidP="00DC4782">
      <w:pPr>
        <w:numPr>
          <w:ilvl w:val="0"/>
          <w:numId w:val="22"/>
        </w:numPr>
        <w:spacing w:before="100" w:beforeAutospacing="1" w:after="100" w:afterAutospacing="1"/>
        <w:rPr>
          <w:rFonts w:ascii="Helvetica" w:hAnsi="Helvetica"/>
          <w:color w:val="333333"/>
          <w:sz w:val="21"/>
          <w:szCs w:val="21"/>
        </w:rPr>
      </w:pPr>
      <w:r>
        <w:rPr>
          <w:rFonts w:ascii="Helvetica" w:hAnsi="Helvetica"/>
          <w:color w:val="333333"/>
          <w:sz w:val="21"/>
          <w:szCs w:val="21"/>
        </w:rPr>
        <w:t>Director, Far North Qld Region</w:t>
      </w:r>
    </w:p>
    <w:p w14:paraId="6828A9B1" w14:textId="77777777" w:rsidR="00274195" w:rsidRDefault="00274195" w:rsidP="00DC4782">
      <w:pPr>
        <w:numPr>
          <w:ilvl w:val="0"/>
          <w:numId w:val="22"/>
        </w:numPr>
        <w:spacing w:before="100" w:beforeAutospacing="1" w:after="100" w:afterAutospacing="1"/>
        <w:rPr>
          <w:rFonts w:ascii="Helvetica" w:hAnsi="Helvetica"/>
          <w:color w:val="333333"/>
          <w:sz w:val="21"/>
          <w:szCs w:val="21"/>
        </w:rPr>
      </w:pPr>
      <w:r>
        <w:rPr>
          <w:rFonts w:ascii="Helvetica" w:hAnsi="Helvetica"/>
          <w:color w:val="333333"/>
          <w:sz w:val="21"/>
          <w:szCs w:val="21"/>
        </w:rPr>
        <w:t>Director, North Qld Region</w:t>
      </w:r>
    </w:p>
    <w:p w14:paraId="7B02D9D1" w14:textId="77777777" w:rsidR="00274195" w:rsidRDefault="00274195" w:rsidP="00DC4782">
      <w:pPr>
        <w:numPr>
          <w:ilvl w:val="0"/>
          <w:numId w:val="22"/>
        </w:numPr>
        <w:spacing w:before="100" w:beforeAutospacing="1" w:after="100" w:afterAutospacing="1"/>
        <w:rPr>
          <w:rFonts w:ascii="Helvetica" w:hAnsi="Helvetica"/>
          <w:color w:val="333333"/>
          <w:sz w:val="21"/>
          <w:szCs w:val="21"/>
        </w:rPr>
      </w:pPr>
      <w:r>
        <w:rPr>
          <w:rFonts w:ascii="Helvetica" w:hAnsi="Helvetica"/>
          <w:color w:val="333333"/>
          <w:sz w:val="21"/>
          <w:szCs w:val="21"/>
        </w:rPr>
        <w:t>Director, Central Qld/North Coast Region</w:t>
      </w:r>
    </w:p>
    <w:p w14:paraId="376B240F" w14:textId="77777777" w:rsidR="00274195" w:rsidRDefault="00274195" w:rsidP="00DC4782">
      <w:pPr>
        <w:numPr>
          <w:ilvl w:val="0"/>
          <w:numId w:val="22"/>
        </w:numPr>
        <w:spacing w:before="100" w:beforeAutospacing="1" w:after="100" w:afterAutospacing="1"/>
        <w:rPr>
          <w:rFonts w:ascii="Helvetica" w:hAnsi="Helvetica"/>
          <w:color w:val="333333"/>
          <w:sz w:val="21"/>
          <w:szCs w:val="21"/>
        </w:rPr>
      </w:pPr>
      <w:r>
        <w:rPr>
          <w:rFonts w:ascii="Helvetica" w:hAnsi="Helvetica"/>
          <w:color w:val="333333"/>
          <w:sz w:val="21"/>
          <w:szCs w:val="21"/>
        </w:rPr>
        <w:t>Director, Brisbane Region</w:t>
      </w:r>
    </w:p>
    <w:p w14:paraId="2453141D" w14:textId="77777777" w:rsidR="00274195" w:rsidRDefault="00274195" w:rsidP="00DC4782">
      <w:pPr>
        <w:numPr>
          <w:ilvl w:val="0"/>
          <w:numId w:val="22"/>
        </w:numPr>
        <w:spacing w:before="100" w:beforeAutospacing="1" w:after="100" w:afterAutospacing="1"/>
        <w:rPr>
          <w:rFonts w:ascii="Helvetica" w:hAnsi="Helvetica"/>
          <w:color w:val="333333"/>
          <w:sz w:val="21"/>
          <w:szCs w:val="21"/>
        </w:rPr>
      </w:pPr>
      <w:r>
        <w:rPr>
          <w:rFonts w:ascii="Helvetica" w:hAnsi="Helvetica"/>
          <w:color w:val="333333"/>
          <w:sz w:val="21"/>
          <w:szCs w:val="21"/>
        </w:rPr>
        <w:t>Director, South-West Region</w:t>
      </w:r>
    </w:p>
    <w:p w14:paraId="22376D03" w14:textId="77777777" w:rsidR="00274195" w:rsidRDefault="00274195" w:rsidP="00DC4782">
      <w:pPr>
        <w:numPr>
          <w:ilvl w:val="0"/>
          <w:numId w:val="23"/>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Regulatory Services</w:t>
      </w:r>
    </w:p>
    <w:p w14:paraId="435DC2B6" w14:textId="77777777" w:rsidR="00274195" w:rsidRDefault="00274195" w:rsidP="00274195">
      <w:pPr>
        <w:pStyle w:val="Heading4"/>
        <w:spacing w:before="150" w:after="150"/>
        <w:rPr>
          <w:rFonts w:ascii="Helvetica" w:hAnsi="Helvetica"/>
          <w:color w:val="333333"/>
          <w:sz w:val="27"/>
          <w:szCs w:val="27"/>
        </w:rPr>
      </w:pPr>
      <w:r>
        <w:rPr>
          <w:rFonts w:ascii="Helvetica" w:hAnsi="Helvetica"/>
          <w:b/>
          <w:bCs/>
          <w:color w:val="333333"/>
          <w:sz w:val="27"/>
          <w:szCs w:val="27"/>
        </w:rPr>
        <w:t>Assistant Director-General, Queensland Government Procurement</w:t>
      </w:r>
    </w:p>
    <w:p w14:paraId="7F03A9EA" w14:textId="77777777" w:rsidR="00274195" w:rsidRDefault="00274195" w:rsidP="00DC4782">
      <w:pPr>
        <w:numPr>
          <w:ilvl w:val="0"/>
          <w:numId w:val="24"/>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Office of the Chief Advisor Qld Government Procurement</w:t>
      </w:r>
    </w:p>
    <w:p w14:paraId="4A9A6221" w14:textId="77777777" w:rsidR="00274195" w:rsidRDefault="00274195" w:rsidP="00DC4782">
      <w:pPr>
        <w:numPr>
          <w:ilvl w:val="0"/>
          <w:numId w:val="24"/>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General Goods and Services Category Management</w:t>
      </w:r>
    </w:p>
    <w:p w14:paraId="1FB36A07" w14:textId="77777777" w:rsidR="00274195" w:rsidRDefault="00274195" w:rsidP="00DC4782">
      <w:pPr>
        <w:numPr>
          <w:ilvl w:val="0"/>
          <w:numId w:val="24"/>
        </w:numPr>
        <w:spacing w:before="100" w:beforeAutospacing="1" w:after="100" w:afterAutospacing="1"/>
        <w:rPr>
          <w:rFonts w:ascii="Helvetica" w:hAnsi="Helvetica"/>
          <w:color w:val="333333"/>
          <w:sz w:val="21"/>
          <w:szCs w:val="21"/>
        </w:rPr>
      </w:pPr>
      <w:r>
        <w:rPr>
          <w:rFonts w:ascii="Helvetica" w:hAnsi="Helvetica"/>
          <w:color w:val="333333"/>
          <w:sz w:val="21"/>
          <w:szCs w:val="21"/>
        </w:rPr>
        <w:t>General Fleet Manger, QFleet</w:t>
      </w:r>
    </w:p>
    <w:p w14:paraId="40F74072" w14:textId="77777777" w:rsidR="00274195" w:rsidRDefault="00274195" w:rsidP="00274195">
      <w:pPr>
        <w:pStyle w:val="Heading4"/>
        <w:spacing w:before="150" w:after="150"/>
        <w:rPr>
          <w:rFonts w:ascii="Helvetica" w:hAnsi="Helvetica"/>
          <w:color w:val="333333"/>
          <w:sz w:val="27"/>
          <w:szCs w:val="27"/>
        </w:rPr>
      </w:pPr>
      <w:r>
        <w:rPr>
          <w:rFonts w:ascii="Helvetica" w:hAnsi="Helvetica"/>
          <w:b/>
          <w:bCs/>
          <w:color w:val="333333"/>
          <w:sz w:val="27"/>
          <w:szCs w:val="27"/>
        </w:rPr>
        <w:t>Deputy Director-General, Public Works and Asset Management</w:t>
      </w:r>
    </w:p>
    <w:p w14:paraId="68702E34" w14:textId="77777777" w:rsidR="00274195" w:rsidRDefault="00274195" w:rsidP="00DC4782">
      <w:pPr>
        <w:numPr>
          <w:ilvl w:val="0"/>
          <w:numId w:val="25"/>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Queensland Government Accommodation Office</w:t>
      </w:r>
    </w:p>
    <w:p w14:paraId="32A96419" w14:textId="77777777" w:rsidR="00274195" w:rsidRDefault="00274195" w:rsidP="00DC4782">
      <w:pPr>
        <w:numPr>
          <w:ilvl w:val="0"/>
          <w:numId w:val="25"/>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Government Employee Housing</w:t>
      </w:r>
    </w:p>
    <w:p w14:paraId="2771D971" w14:textId="77777777" w:rsidR="00274195" w:rsidRDefault="00274195" w:rsidP="00DC4782">
      <w:pPr>
        <w:numPr>
          <w:ilvl w:val="0"/>
          <w:numId w:val="25"/>
        </w:numPr>
        <w:spacing w:before="100" w:beforeAutospacing="1" w:after="100" w:afterAutospacing="1"/>
        <w:rPr>
          <w:rFonts w:ascii="Helvetica" w:hAnsi="Helvetica"/>
          <w:color w:val="333333"/>
          <w:sz w:val="21"/>
          <w:szCs w:val="21"/>
        </w:rPr>
      </w:pPr>
      <w:r>
        <w:rPr>
          <w:rFonts w:ascii="Helvetica" w:hAnsi="Helvetica"/>
          <w:color w:val="333333"/>
          <w:sz w:val="21"/>
          <w:szCs w:val="21"/>
        </w:rPr>
        <w:t>Manager, Disaster Coordination Unit</w:t>
      </w:r>
    </w:p>
    <w:p w14:paraId="55AF8D08" w14:textId="77777777" w:rsidR="00274195" w:rsidRDefault="00274195" w:rsidP="00DC4782">
      <w:pPr>
        <w:numPr>
          <w:ilvl w:val="0"/>
          <w:numId w:val="26"/>
        </w:numPr>
        <w:spacing w:before="100" w:beforeAutospacing="1" w:after="100" w:afterAutospacing="1"/>
        <w:rPr>
          <w:rFonts w:ascii="Helvetica" w:hAnsi="Helvetica"/>
          <w:color w:val="333333"/>
          <w:sz w:val="21"/>
          <w:szCs w:val="21"/>
        </w:rPr>
      </w:pPr>
      <w:r>
        <w:rPr>
          <w:rFonts w:ascii="Helvetica" w:hAnsi="Helvetica"/>
          <w:color w:val="333333"/>
          <w:sz w:val="21"/>
          <w:szCs w:val="21"/>
        </w:rPr>
        <w:t>General Manager, Building and Asset Services</w:t>
      </w:r>
    </w:p>
    <w:p w14:paraId="4AC24299" w14:textId="77777777" w:rsidR="00274195" w:rsidRDefault="00274195" w:rsidP="00DC4782">
      <w:pPr>
        <w:numPr>
          <w:ilvl w:val="0"/>
          <w:numId w:val="26"/>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Customer Relationships and Program Management</w:t>
      </w:r>
    </w:p>
    <w:p w14:paraId="1981C77E" w14:textId="77777777" w:rsidR="00274195" w:rsidRDefault="00274195" w:rsidP="00DC4782">
      <w:pPr>
        <w:numPr>
          <w:ilvl w:val="0"/>
          <w:numId w:val="26"/>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Technical Services</w:t>
      </w:r>
    </w:p>
    <w:p w14:paraId="22CEF36F" w14:textId="77777777" w:rsidR="00274195" w:rsidRDefault="00274195" w:rsidP="00DC4782">
      <w:pPr>
        <w:numPr>
          <w:ilvl w:val="0"/>
          <w:numId w:val="26"/>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Northern Queensland Operations</w:t>
      </w:r>
    </w:p>
    <w:p w14:paraId="785DA7D0" w14:textId="77777777" w:rsidR="00274195" w:rsidRDefault="00274195" w:rsidP="00DC4782">
      <w:pPr>
        <w:numPr>
          <w:ilvl w:val="0"/>
          <w:numId w:val="26"/>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Central and Southern Queensland Operations</w:t>
      </w:r>
    </w:p>
    <w:p w14:paraId="3BFBC322" w14:textId="77777777" w:rsidR="00274195" w:rsidRDefault="00274195" w:rsidP="00DC4782">
      <w:pPr>
        <w:numPr>
          <w:ilvl w:val="0"/>
          <w:numId w:val="26"/>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South-East Qld Operations</w:t>
      </w:r>
    </w:p>
    <w:p w14:paraId="4479D0D5" w14:textId="77777777" w:rsidR="00274195" w:rsidRDefault="00274195" w:rsidP="00274195">
      <w:pPr>
        <w:pStyle w:val="Heading4"/>
        <w:spacing w:before="150" w:after="150"/>
        <w:rPr>
          <w:rFonts w:ascii="Helvetica" w:hAnsi="Helvetica"/>
          <w:color w:val="333333"/>
          <w:sz w:val="27"/>
          <w:szCs w:val="27"/>
        </w:rPr>
      </w:pPr>
      <w:r>
        <w:rPr>
          <w:rFonts w:ascii="Helvetica" w:hAnsi="Helvetica"/>
          <w:b/>
          <w:bCs/>
          <w:color w:val="333333"/>
          <w:sz w:val="27"/>
          <w:szCs w:val="27"/>
        </w:rPr>
        <w:t>Assistant Director-General, Building Industry and Policy</w:t>
      </w:r>
    </w:p>
    <w:p w14:paraId="104D6149" w14:textId="77777777" w:rsidR="00274195" w:rsidRDefault="00274195" w:rsidP="00DC4782">
      <w:pPr>
        <w:numPr>
          <w:ilvl w:val="0"/>
          <w:numId w:val="27"/>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Building Industry and Policy</w:t>
      </w:r>
    </w:p>
    <w:p w14:paraId="0399E233" w14:textId="77777777" w:rsidR="00274195" w:rsidRDefault="00274195" w:rsidP="00DC4782">
      <w:pPr>
        <w:numPr>
          <w:ilvl w:val="0"/>
          <w:numId w:val="27"/>
        </w:numPr>
        <w:spacing w:before="100" w:beforeAutospacing="1" w:after="100" w:afterAutospacing="1"/>
        <w:rPr>
          <w:rFonts w:ascii="Helvetica" w:hAnsi="Helvetica"/>
          <w:color w:val="333333"/>
          <w:sz w:val="21"/>
          <w:szCs w:val="21"/>
        </w:rPr>
      </w:pPr>
      <w:r>
        <w:rPr>
          <w:rFonts w:ascii="Helvetica" w:hAnsi="Helvetica"/>
          <w:color w:val="333333"/>
          <w:sz w:val="21"/>
          <w:szCs w:val="21"/>
        </w:rPr>
        <w:lastRenderedPageBreak/>
        <w:t>Executive Director, Building Construction and Maintenance Category Management</w:t>
      </w:r>
    </w:p>
    <w:p w14:paraId="4187663D" w14:textId="77777777" w:rsidR="00274195" w:rsidRDefault="00274195" w:rsidP="00DC4782">
      <w:pPr>
        <w:numPr>
          <w:ilvl w:val="0"/>
          <w:numId w:val="27"/>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Contract Services</w:t>
      </w:r>
    </w:p>
    <w:p w14:paraId="026A1658" w14:textId="77777777" w:rsidR="00274195" w:rsidRDefault="00274195" w:rsidP="00274195">
      <w:pPr>
        <w:pStyle w:val="Heading4"/>
        <w:spacing w:before="150" w:after="150"/>
        <w:rPr>
          <w:rFonts w:ascii="Helvetica" w:hAnsi="Helvetica"/>
          <w:color w:val="333333"/>
          <w:sz w:val="27"/>
          <w:szCs w:val="27"/>
        </w:rPr>
      </w:pPr>
      <w:r>
        <w:rPr>
          <w:rFonts w:ascii="Helvetica" w:hAnsi="Helvetica"/>
          <w:b/>
          <w:bCs/>
          <w:color w:val="333333"/>
          <w:sz w:val="27"/>
          <w:szCs w:val="27"/>
        </w:rPr>
        <w:t>Assistant Director-General, Corporate Services</w:t>
      </w:r>
    </w:p>
    <w:p w14:paraId="3AE7DBD3"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Chief Information Officer</w:t>
      </w:r>
    </w:p>
    <w:p w14:paraId="6BE90DC9"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Chief Finance Officer</w:t>
      </w:r>
    </w:p>
    <w:p w14:paraId="66C2CA95"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General Counsel, Legal Services</w:t>
      </w:r>
    </w:p>
    <w:p w14:paraId="59E2ABFD"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Human Resources</w:t>
      </w:r>
    </w:p>
    <w:p w14:paraId="67ECFE65"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Executive Director, Communication and Engagement</w:t>
      </w:r>
    </w:p>
    <w:p w14:paraId="09E861B4"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Director, Executive Services</w:t>
      </w:r>
    </w:p>
    <w:p w14:paraId="32F8F748"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Director, Governance, Planning and Performance</w:t>
      </w:r>
    </w:p>
    <w:p w14:paraId="1433442D"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Director, Corporate Programs</w:t>
      </w:r>
    </w:p>
    <w:p w14:paraId="0DCB1C9C"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Manager, Housing Appeals and Review</w:t>
      </w:r>
    </w:p>
    <w:p w14:paraId="4415513B" w14:textId="77777777" w:rsidR="00274195" w:rsidRDefault="00274195" w:rsidP="00DC4782">
      <w:pPr>
        <w:numPr>
          <w:ilvl w:val="0"/>
          <w:numId w:val="28"/>
        </w:numPr>
        <w:spacing w:before="100" w:beforeAutospacing="1" w:after="100" w:afterAutospacing="1"/>
        <w:rPr>
          <w:rFonts w:ascii="Helvetica" w:hAnsi="Helvetica"/>
          <w:color w:val="333333"/>
          <w:sz w:val="21"/>
          <w:szCs w:val="21"/>
        </w:rPr>
      </w:pPr>
      <w:r>
        <w:rPr>
          <w:rFonts w:ascii="Helvetica" w:hAnsi="Helvetica"/>
          <w:color w:val="333333"/>
          <w:sz w:val="21"/>
          <w:szCs w:val="21"/>
        </w:rPr>
        <w:t>Manager, Integrity Services</w:t>
      </w:r>
    </w:p>
    <w:p w14:paraId="2224A4B2" w14:textId="54A097F1" w:rsidR="002B2E87" w:rsidRDefault="00924E75" w:rsidP="008F00F6">
      <w:pPr>
        <w:sectPr w:rsidR="002B2E87" w:rsidSect="00924E75">
          <w:pgSz w:w="11906" w:h="16838" w:code="9"/>
          <w:pgMar w:top="1440" w:right="424" w:bottom="1440" w:left="1021" w:header="709" w:footer="709" w:gutter="0"/>
          <w:cols w:space="708"/>
          <w:docGrid w:linePitch="360"/>
        </w:sectPr>
      </w:pPr>
      <w:r>
        <w:t>As at 30 June 2017</w:t>
      </w:r>
    </w:p>
    <w:p w14:paraId="43FB95C7" w14:textId="0C6DD640" w:rsidR="008E6B36" w:rsidRDefault="00050331" w:rsidP="005D3ADE">
      <w:pPr>
        <w:pStyle w:val="Heading1"/>
      </w:pPr>
      <w:bookmarkStart w:id="16" w:name="_Toc494984618"/>
      <w:bookmarkStart w:id="17" w:name="_Toc458777582"/>
      <w:r>
        <w:t xml:space="preserve">Severe Tropical </w:t>
      </w:r>
      <w:r w:rsidR="00EF1F30">
        <w:t>Cyclone Debbie</w:t>
      </w:r>
      <w:r w:rsidR="006D6874">
        <w:t xml:space="preserve"> – </w:t>
      </w:r>
      <w:r w:rsidR="00A83D57">
        <w:t>W</w:t>
      </w:r>
      <w:r w:rsidR="006D6874">
        <w:t xml:space="preserve">orking </w:t>
      </w:r>
      <w:r w:rsidR="00A83D57">
        <w:t>T</w:t>
      </w:r>
      <w:r w:rsidR="006D6874">
        <w:t>ogether</w:t>
      </w:r>
      <w:bookmarkEnd w:id="16"/>
    </w:p>
    <w:p w14:paraId="1377CA77" w14:textId="31E2D374" w:rsidR="007C6D4C" w:rsidRPr="007C6D4C" w:rsidRDefault="00445938" w:rsidP="00CF0A4C">
      <w:r>
        <w:t xml:space="preserve">We are proud of our work in response to disasters. It is at these times that we see how well our agency pulls together to do what needs to be done. This year, </w:t>
      </w:r>
      <w:r w:rsidR="00B737A9">
        <w:t>our</w:t>
      </w:r>
      <w:r w:rsidR="007C6D4C" w:rsidRPr="007C6D4C">
        <w:t xml:space="preserve"> staff worked tirelessly in the lead up to, and aftermath of </w:t>
      </w:r>
      <w:r w:rsidR="00050331">
        <w:t xml:space="preserve">Severe </w:t>
      </w:r>
      <w:r w:rsidR="007C6D4C" w:rsidRPr="007C6D4C">
        <w:t>Tropical Cyclone Debbie</w:t>
      </w:r>
      <w:r w:rsidR="009A1E4D">
        <w:t>,</w:t>
      </w:r>
      <w:r w:rsidR="007C6D4C" w:rsidRPr="007C6D4C">
        <w:t xml:space="preserve"> to help people in affected communities like Proserpine, Bowen, and Mackay </w:t>
      </w:r>
      <w:r w:rsidR="009A1E4D">
        <w:t xml:space="preserve">to </w:t>
      </w:r>
      <w:r w:rsidR="007C6D4C" w:rsidRPr="007C6D4C">
        <w:t>access vital support and recovery services.</w:t>
      </w:r>
    </w:p>
    <w:p w14:paraId="759EE35C" w14:textId="377B9313" w:rsidR="007C6D4C" w:rsidRPr="007C6D4C" w:rsidRDefault="007C6D4C" w:rsidP="00CF0A4C">
      <w:r w:rsidRPr="007C6D4C">
        <w:t>Motivated by a desire to help their fellow Queenslanders, staff from across the department showed dedication and compassion as they came together in a massive coordinated effort to provide support to those who needed it most.</w:t>
      </w:r>
    </w:p>
    <w:p w14:paraId="6B854019" w14:textId="6A8BF1CB" w:rsidR="007C6D4C" w:rsidRPr="002C33DC" w:rsidRDefault="007C6D4C" w:rsidP="00CF0A4C">
      <w:r w:rsidRPr="007C6D4C">
        <w:t xml:space="preserve">As the cyclone intensified in late March 2017, </w:t>
      </w:r>
      <w:r w:rsidRPr="002C33DC">
        <w:t xml:space="preserve">Housing Service Centre staff worked around the clock providing advice and support to vulnerable public housing tenants </w:t>
      </w:r>
      <w:r w:rsidR="003C6921">
        <w:t>as well as housing support to the broader community</w:t>
      </w:r>
      <w:r w:rsidRPr="002C33DC">
        <w:t xml:space="preserve"> in areas likely to be impacted by the cyclone. Staff flew from Brisbane to Cairns, Townsville and Mackay to support their local colleagues on the ground, and other support staff prepared to help where needed.</w:t>
      </w:r>
    </w:p>
    <w:p w14:paraId="71F8ECB3" w14:textId="09FE9E15" w:rsidR="007C6D4C" w:rsidRPr="002C33DC" w:rsidRDefault="5E78CB3E" w:rsidP="00CF0A4C">
      <w:r>
        <w:t>Six</w:t>
      </w:r>
      <w:r w:rsidR="2675DA10" w:rsidRPr="7BBD5062">
        <w:t xml:space="preserve"> </w:t>
      </w:r>
      <w:r w:rsidR="00C871E0">
        <w:t>e</w:t>
      </w:r>
      <w:r w:rsidR="007C6D4C" w:rsidRPr="007C6D4C">
        <w:t>xperts in disaster coordination</w:t>
      </w:r>
      <w:r w:rsidRPr="007C6D4C">
        <w:t>, logistics</w:t>
      </w:r>
      <w:r w:rsidR="007C6D4C" w:rsidRPr="007C6D4C">
        <w:t xml:space="preserve"> and communication were deployed to the State Disaster Coordination Centre at Kedron to</w:t>
      </w:r>
      <w:r w:rsidR="007C6D4C" w:rsidRPr="002C33DC">
        <w:t xml:space="preserve"> strengthen the </w:t>
      </w:r>
      <w:r w:rsidR="00C871E0">
        <w:t>G</w:t>
      </w:r>
      <w:r w:rsidR="007C6D4C" w:rsidRPr="002C33DC">
        <w:t xml:space="preserve">overnment’s response team. Over </w:t>
      </w:r>
      <w:r w:rsidR="4D9D9240" w:rsidRPr="002C33DC">
        <w:t>3</w:t>
      </w:r>
      <w:r w:rsidR="7AD57704" w:rsidRPr="002C33DC">
        <w:t>50</w:t>
      </w:r>
      <w:r w:rsidR="1EE63DB9" w:rsidRPr="7BBD5062">
        <w:t xml:space="preserve"> </w:t>
      </w:r>
      <w:r w:rsidR="007C6D4C" w:rsidRPr="002C33DC">
        <w:t xml:space="preserve">staff from </w:t>
      </w:r>
      <w:r w:rsidR="4D587A8E" w:rsidRPr="002C33DC">
        <w:t>b</w:t>
      </w:r>
      <w:r w:rsidR="007C6D4C" w:rsidRPr="002C33DC">
        <w:t xml:space="preserve">usiness </w:t>
      </w:r>
      <w:r w:rsidR="009A1E4D">
        <w:t>areas</w:t>
      </w:r>
      <w:r w:rsidR="009A1E4D" w:rsidRPr="002C33DC">
        <w:t xml:space="preserve"> </w:t>
      </w:r>
      <w:r w:rsidR="4D9D9240" w:rsidRPr="002C33DC">
        <w:t xml:space="preserve">were </w:t>
      </w:r>
      <w:r w:rsidR="007C6D4C" w:rsidRPr="002C33DC">
        <w:t>deploy</w:t>
      </w:r>
      <w:r w:rsidR="002C4156">
        <w:t>ed</w:t>
      </w:r>
      <w:r w:rsidR="007C6D4C" w:rsidRPr="002C33DC">
        <w:t xml:space="preserve"> to affected areas</w:t>
      </w:r>
      <w:r w:rsidR="1EE63DB9" w:rsidRPr="002C33DC">
        <w:t xml:space="preserve"> for response and recovery activit</w:t>
      </w:r>
      <w:r w:rsidR="7A79E869" w:rsidRPr="002C33DC">
        <w:t>ies.</w:t>
      </w:r>
    </w:p>
    <w:p w14:paraId="759D8556" w14:textId="77777777" w:rsidR="007C6D4C" w:rsidRPr="00BF30BA" w:rsidRDefault="007C6D4C" w:rsidP="00CF0A4C">
      <w:r w:rsidRPr="002C33DC">
        <w:t>In the immediate aftermath of the cyclone the recovery effort was in full swing, with a focus on helping people deal with the impacts while maintaining the safety of staff and the public as the highest priority. The different areas of</w:t>
      </w:r>
      <w:r w:rsidRPr="00BF30BA">
        <w:t xml:space="preserve"> HPW worked seamlessly together with a shared purpose of helping those most in need.</w:t>
      </w:r>
    </w:p>
    <w:p w14:paraId="37112D41" w14:textId="3AF81B88" w:rsidR="007C6D4C" w:rsidRPr="00BF30BA" w:rsidRDefault="007C6D4C" w:rsidP="00CF0A4C">
      <w:r w:rsidRPr="00BF30BA">
        <w:t xml:space="preserve">Building and Asset Services’ (BAS) team of condition assessors </w:t>
      </w:r>
      <w:r w:rsidR="00BC3830">
        <w:t>undertook</w:t>
      </w:r>
      <w:r w:rsidRPr="00BF30BA">
        <w:t xml:space="preserve"> Rapid Damage Assessments of buildings and government assets and arranged to carry out necessary repairs. From Tuesday 4 April</w:t>
      </w:r>
      <w:r w:rsidR="00492F1C">
        <w:t xml:space="preserve"> 2017</w:t>
      </w:r>
      <w:r w:rsidRPr="00BF30BA">
        <w:t xml:space="preserve">, BAS </w:t>
      </w:r>
      <w:r w:rsidR="00BC3830">
        <w:t>also undertook</w:t>
      </w:r>
      <w:r w:rsidRPr="00BF30BA">
        <w:t xml:space="preserve"> Structural Assistance Grant Assessments in Mackay.</w:t>
      </w:r>
    </w:p>
    <w:p w14:paraId="2901D794" w14:textId="4F6FFFEE" w:rsidR="007C6D4C" w:rsidRPr="00BF30BA" w:rsidRDefault="54FAC9A8" w:rsidP="00CF0A4C">
      <w:r w:rsidRPr="00BF30BA">
        <w:t xml:space="preserve">Over </w:t>
      </w:r>
      <w:r w:rsidR="007C6D4C" w:rsidRPr="00BF30BA">
        <w:t>2</w:t>
      </w:r>
      <w:r w:rsidRPr="00BF30BA">
        <w:t>,3</w:t>
      </w:r>
      <w:r w:rsidR="007C6D4C" w:rsidRPr="00BF30BA">
        <w:t xml:space="preserve">00 </w:t>
      </w:r>
      <w:r w:rsidR="37F90B4C" w:rsidRPr="00BF30BA">
        <w:t>properties</w:t>
      </w:r>
      <w:r w:rsidRPr="50A07ACB">
        <w:t xml:space="preserve"> </w:t>
      </w:r>
      <w:r w:rsidR="007C6D4C" w:rsidRPr="00BF30BA">
        <w:t xml:space="preserve">were damaged across the state as a result of the cyclone and flooding. A total of 146 contractors undertook around 4,000 repair jobs </w:t>
      </w:r>
      <w:r w:rsidR="50A07ACB" w:rsidRPr="00BF30BA">
        <w:t xml:space="preserve">on </w:t>
      </w:r>
      <w:r w:rsidR="44CDA215" w:rsidRPr="00BF30BA">
        <w:t>govern</w:t>
      </w:r>
      <w:r w:rsidR="50A07ACB" w:rsidRPr="00BF30BA">
        <w:t xml:space="preserve">ment </w:t>
      </w:r>
      <w:r w:rsidR="007C6D4C" w:rsidRPr="00BF30BA">
        <w:t>building assets state-wide.</w:t>
      </w:r>
    </w:p>
    <w:p w14:paraId="46B80EC0" w14:textId="2729F2E2" w:rsidR="007C6D4C" w:rsidRPr="002C33DC" w:rsidRDefault="007C6D4C" w:rsidP="00CF0A4C">
      <w:r w:rsidRPr="002C33DC">
        <w:t xml:space="preserve">The Government’s fleet provider, QFleet also played a vital role in supplying urgently needed vehicles to agencies involved in the disaster recovery effort </w:t>
      </w:r>
      <w:r w:rsidR="009A1E4D">
        <w:t>following</w:t>
      </w:r>
      <w:r w:rsidRPr="002C33DC">
        <w:t xml:space="preserve"> Tropical Cyclone Debbie.</w:t>
      </w:r>
    </w:p>
    <w:p w14:paraId="1E1AA841" w14:textId="67233F6D" w:rsidR="007C6D4C" w:rsidRPr="002C33DC" w:rsidRDefault="007C6D4C" w:rsidP="00CF0A4C">
      <w:r w:rsidRPr="007C6D4C">
        <w:lastRenderedPageBreak/>
        <w:t xml:space="preserve">QFleet arranged for the transportation of vehicles to Townsville to assist with community recovery work. The team also identified and prepared other roadworthy vehicles for possible deployment, </w:t>
      </w:r>
      <w:r w:rsidR="009A1E4D">
        <w:t>and</w:t>
      </w:r>
      <w:r w:rsidRPr="007C6D4C">
        <w:t xml:space="preserve"> contact</w:t>
      </w:r>
      <w:r w:rsidR="009A1E4D">
        <w:t xml:space="preserve">ed </w:t>
      </w:r>
      <w:r w:rsidRPr="002C33DC">
        <w:t>vehicle manufacturers to see what vehicles were available at dealerships in Ayr, Bowen, Proserpine, Mackay, Townsville, Cairns and Rockhampton</w:t>
      </w:r>
      <w:r w:rsidR="00940C42" w:rsidRPr="5E3A9904">
        <w:t>.</w:t>
      </w:r>
    </w:p>
    <w:p w14:paraId="7FB58A8B" w14:textId="463E50B1" w:rsidR="007C6D4C" w:rsidRPr="002C33DC" w:rsidRDefault="3422AA6D" w:rsidP="00CF0A4C">
      <w:r w:rsidRPr="007C6D4C">
        <w:t>Short-term e</w:t>
      </w:r>
      <w:r w:rsidR="007C6D4C" w:rsidRPr="007C6D4C">
        <w:t xml:space="preserve">mergency </w:t>
      </w:r>
      <w:r w:rsidR="12B7B4AA" w:rsidRPr="007C6D4C">
        <w:t xml:space="preserve">accommodation </w:t>
      </w:r>
      <w:r w:rsidR="007C6D4C" w:rsidRPr="007C6D4C">
        <w:t>was provided for 171 people affected by the cyclone</w:t>
      </w:r>
      <w:r w:rsidR="12B7B4AA" w:rsidRPr="007C6D4C">
        <w:t xml:space="preserve"> includ</w:t>
      </w:r>
      <w:r w:rsidR="00B04895">
        <w:t>ing</w:t>
      </w:r>
      <w:r w:rsidR="12B7B4AA" w:rsidRPr="007C6D4C">
        <w:t xml:space="preserve"> </w:t>
      </w:r>
      <w:r w:rsidR="007C6D4C" w:rsidRPr="007C6D4C">
        <w:t xml:space="preserve">31 people evacuated to Cairns and 106 tourists who were </w:t>
      </w:r>
      <w:r w:rsidR="007C6D4C" w:rsidRPr="002C33DC">
        <w:t xml:space="preserve">holidaying </w:t>
      </w:r>
      <w:r w:rsidR="00D7F592" w:rsidRPr="002C33DC">
        <w:t xml:space="preserve">in </w:t>
      </w:r>
      <w:r w:rsidR="007C6D4C" w:rsidRPr="002C33DC">
        <w:t>the Whitsundays when Tropical Cyclone Debbie struck.</w:t>
      </w:r>
    </w:p>
    <w:p w14:paraId="7290FAE4" w14:textId="287A73C5" w:rsidR="007C6D4C" w:rsidRPr="002C33DC" w:rsidRDefault="007C6D4C" w:rsidP="00CF0A4C">
      <w:r w:rsidRPr="007C6D4C">
        <w:t xml:space="preserve">Housing support staff had a strong presence at Disaster Recovery Hubs in Bowen, Proserpine, Cannonvale and Mackay </w:t>
      </w:r>
      <w:r w:rsidR="009A1E4D">
        <w:t>in addition to having</w:t>
      </w:r>
      <w:r w:rsidRPr="007C6D4C">
        <w:t xml:space="preserve"> some outreach teams in the northern beaches area. In a huge effort, Housing Services staff</w:t>
      </w:r>
      <w:r w:rsidRPr="002C33DC">
        <w:t xml:space="preserve"> also visited or checked in with over 600 public housing tenants ranging from the Far North to south-east Queensland, to ensure they were safe.</w:t>
      </w:r>
    </w:p>
    <w:p w14:paraId="3EF5FB88" w14:textId="5FB4A07B" w:rsidR="007C6D4C" w:rsidRPr="007C6D4C" w:rsidRDefault="007C6D4C" w:rsidP="00CF0A4C">
      <w:r w:rsidRPr="002C33DC">
        <w:t xml:space="preserve">HPW staff also answered the call for Ready </w:t>
      </w:r>
      <w:r w:rsidR="2A75F49D" w:rsidRPr="002C33DC">
        <w:t>R</w:t>
      </w:r>
      <w:r w:rsidRPr="002C33DC">
        <w:t xml:space="preserve">eservists, with </w:t>
      </w:r>
      <w:r w:rsidR="2A75F49D" w:rsidRPr="002C33DC">
        <w:t>4</w:t>
      </w:r>
      <w:r w:rsidR="67AFBBE9" w:rsidRPr="002C33DC">
        <w:t>2</w:t>
      </w:r>
      <w:r w:rsidR="2A75F49D" w:rsidRPr="002C33DC">
        <w:t xml:space="preserve"> </w:t>
      </w:r>
      <w:r w:rsidRPr="002C33DC">
        <w:t xml:space="preserve">staff </w:t>
      </w:r>
      <w:r w:rsidR="2A75F49D" w:rsidRPr="002C33DC">
        <w:t xml:space="preserve">deployed </w:t>
      </w:r>
      <w:r w:rsidRPr="002C33DC">
        <w:t>to help in the recovery effort. Ready reservists play a key role in areas such as meeting and greeting people impacted by disasters, and helping affecte</w:t>
      </w:r>
      <w:r w:rsidRPr="007C6D4C">
        <w:t>d householders to complete financial assistance application forms.</w:t>
      </w:r>
    </w:p>
    <w:p w14:paraId="7DBF703C" w14:textId="77777777" w:rsidR="007C6D4C" w:rsidRPr="002C33DC" w:rsidRDefault="007C6D4C" w:rsidP="00CF0A4C">
      <w:r w:rsidRPr="007C6D4C">
        <w:t>Our passion for helping Queenslanders in need also drives us to look at new and innovative ways of responding in the face of natural disasters. One of our dedicated staff members developed an inspection tool that enabled assessors to provide accurate early reports on damage to BAS customer assets in the aftermath of Tropic</w:t>
      </w:r>
      <w:r w:rsidRPr="002C33DC">
        <w:t>al Cyclone Debbie.</w:t>
      </w:r>
    </w:p>
    <w:p w14:paraId="74903DAF" w14:textId="77777777" w:rsidR="00FB57C9" w:rsidRDefault="006E356D" w:rsidP="00CF0A4C">
      <w:r>
        <w:t>T</w:t>
      </w:r>
      <w:r w:rsidR="007C6D4C" w:rsidRPr="002C33DC">
        <w:t>he department continue</w:t>
      </w:r>
      <w:r w:rsidR="009A1E4D">
        <w:t>d</w:t>
      </w:r>
      <w:r w:rsidR="007C6D4C" w:rsidRPr="002C33DC">
        <w:t xml:space="preserve"> to work with other agencies to assess learnings from the event and implement </w:t>
      </w:r>
      <w:r w:rsidR="0531946E" w:rsidRPr="002C33DC">
        <w:t>changes to better</w:t>
      </w:r>
      <w:r w:rsidR="1A30F7B9" w:rsidRPr="002C33DC">
        <w:t xml:space="preserve"> pre</w:t>
      </w:r>
      <w:r w:rsidR="4E21AC94" w:rsidRPr="002C33DC">
        <w:t>vent, pre</w:t>
      </w:r>
      <w:r w:rsidR="1A30F7B9" w:rsidRPr="002C33DC">
        <w:t xml:space="preserve">pare for, respond to and recover from </w:t>
      </w:r>
      <w:r w:rsidR="4E21AC94" w:rsidRPr="002C33DC">
        <w:t xml:space="preserve">the impacts of </w:t>
      </w:r>
      <w:r w:rsidR="007C6D4C" w:rsidRPr="002C33DC">
        <w:t>future events.</w:t>
      </w:r>
    </w:p>
    <w:p w14:paraId="2E140699" w14:textId="77777777" w:rsidR="00FB57C9" w:rsidRDefault="00FB57C9" w:rsidP="00CF0A4C">
      <w:r>
        <w:t>IMAGE:  TWO MEN IN FRONT OF HELICOPTER</w:t>
      </w:r>
    </w:p>
    <w:p w14:paraId="27AC9583" w14:textId="77777777" w:rsidR="00542A48" w:rsidRDefault="00FB57C9" w:rsidP="00CF0A4C">
      <w:r>
        <w:t xml:space="preserve">IMAGE: </w:t>
      </w:r>
      <w:r w:rsidR="00542A48">
        <w:t>WORKER IN PERSONAL PROTECTIVE CLOTHING REMOVING FALLEN TREE</w:t>
      </w:r>
    </w:p>
    <w:p w14:paraId="0F0EA08A" w14:textId="7C047CC3" w:rsidR="00542A48" w:rsidRDefault="00542A48" w:rsidP="00CF0A4C">
      <w:r>
        <w:t>IMAGE: TWO HOUSING AND PUBLIC WORKS STAFF AT DISASTER RECOVERY HUB</w:t>
      </w:r>
      <w:r w:rsidR="000B72AE">
        <w:t xml:space="preserve"> </w:t>
      </w:r>
    </w:p>
    <w:p w14:paraId="0CE8E502" w14:textId="480F3713" w:rsidR="00BF30BA" w:rsidRDefault="00BF30BA" w:rsidP="00CF0A4C">
      <w:pPr>
        <w:rPr>
          <w:rFonts w:eastAsiaTheme="majorEastAsia" w:cstheme="majorBidi"/>
          <w:color w:val="000000" w:themeColor="text1"/>
          <w:spacing w:val="-10"/>
          <w:kern w:val="28"/>
          <w:sz w:val="56"/>
          <w:szCs w:val="32"/>
        </w:rPr>
      </w:pPr>
      <w:r>
        <w:br w:type="page"/>
      </w:r>
    </w:p>
    <w:p w14:paraId="0D0FCA82" w14:textId="77777777" w:rsidR="00136214" w:rsidRDefault="00136214" w:rsidP="002F0A6A">
      <w:pPr>
        <w:pStyle w:val="Title"/>
        <w:pBdr>
          <w:top w:val="none" w:sz="0" w:space="0" w:color="auto"/>
          <w:bottom w:val="none" w:sz="0" w:space="0" w:color="auto"/>
        </w:pBdr>
      </w:pPr>
      <w:r>
        <w:lastRenderedPageBreak/>
        <w:t>Part 2</w:t>
      </w:r>
    </w:p>
    <w:p w14:paraId="49A18502" w14:textId="35604B2C" w:rsidR="00B944E9" w:rsidRDefault="00B944E9" w:rsidP="005D3ADE">
      <w:pPr>
        <w:pStyle w:val="Heading1"/>
      </w:pPr>
      <w:bookmarkStart w:id="18" w:name="_Toc494984619"/>
      <w:r>
        <w:t xml:space="preserve">Our </w:t>
      </w:r>
      <w:r w:rsidR="00136214">
        <w:t xml:space="preserve">Achievements against our </w:t>
      </w:r>
      <w:r w:rsidR="00542AF1">
        <w:t>Strategic Plan</w:t>
      </w:r>
      <w:bookmarkEnd w:id="17"/>
      <w:bookmarkEnd w:id="18"/>
    </w:p>
    <w:p w14:paraId="5D46EF86" w14:textId="2635CAAF" w:rsidR="00FA103F" w:rsidRDefault="00982246" w:rsidP="00CF0A4C">
      <w:r>
        <w:t>We</w:t>
      </w:r>
      <w:r w:rsidR="00542AF1">
        <w:t xml:space="preserve"> </w:t>
      </w:r>
      <w:r w:rsidR="00BC3830">
        <w:t xml:space="preserve">delivered </w:t>
      </w:r>
      <w:r w:rsidR="000D1DFF">
        <w:t>a new</w:t>
      </w:r>
      <w:r w:rsidR="003B0F17">
        <w:t xml:space="preserve"> Strategic Plan </w:t>
      </w:r>
      <w:r w:rsidR="000D1DFF">
        <w:t>for 2016</w:t>
      </w:r>
      <w:r w:rsidR="000C39C3">
        <w:t>–</w:t>
      </w:r>
      <w:r w:rsidR="000D1DFF">
        <w:t xml:space="preserve">20. </w:t>
      </w:r>
      <w:r w:rsidR="004E439F">
        <w:t xml:space="preserve">The new plan reframed our strategic direction into four key objectives and </w:t>
      </w:r>
      <w:r w:rsidR="003B0F17">
        <w:t xml:space="preserve">for the </w:t>
      </w:r>
      <w:r w:rsidR="0041753D">
        <w:t>first-time</w:t>
      </w:r>
      <w:r w:rsidR="003B0F17">
        <w:t xml:space="preserve"> </w:t>
      </w:r>
      <w:r w:rsidR="00AE710A">
        <w:t>defined key indicators for each of these objectives</w:t>
      </w:r>
      <w:r w:rsidR="00190128">
        <w:t xml:space="preserve">. </w:t>
      </w:r>
    </w:p>
    <w:p w14:paraId="3BA5992F" w14:textId="77777777" w:rsidR="003B0F17" w:rsidRPr="000B72AE" w:rsidRDefault="003B0F17" w:rsidP="000B72AE">
      <w:pPr>
        <w:pStyle w:val="Heading3"/>
      </w:pPr>
      <w:r w:rsidRPr="000B72AE">
        <w:t>Our Objectives</w:t>
      </w:r>
    </w:p>
    <w:p w14:paraId="5AF267EE" w14:textId="299B8F1B" w:rsidR="003B0F17" w:rsidRDefault="003B0F17" w:rsidP="00CF0A4C">
      <w:r>
        <w:t xml:space="preserve">Our </w:t>
      </w:r>
      <w:r w:rsidRPr="004D33AB">
        <w:t>strategic objectives</w:t>
      </w:r>
      <w:r w:rsidR="00FF379D">
        <w:t xml:space="preserve"> </w:t>
      </w:r>
      <w:r w:rsidR="009A1E4D">
        <w:t>were</w:t>
      </w:r>
      <w:r>
        <w:t>:</w:t>
      </w:r>
    </w:p>
    <w:p w14:paraId="2089F6B8" w14:textId="5B934464" w:rsidR="003B0F17" w:rsidRDefault="003B0F17" w:rsidP="00096C6C">
      <w:pPr>
        <w:pStyle w:val="Bullets"/>
      </w:pPr>
      <w:r>
        <w:t xml:space="preserve">for people </w:t>
      </w:r>
      <w:r w:rsidR="00BF094A">
        <w:t xml:space="preserve">and communities </w:t>
      </w:r>
      <w:r>
        <w:t>to experience better lives and greater opportunities through</w:t>
      </w:r>
      <w:r w:rsidR="00BC3830">
        <w:t xml:space="preserve"> the</w:t>
      </w:r>
      <w:r>
        <w:t xml:space="preserve"> delivery of a</w:t>
      </w:r>
      <w:r w:rsidR="00F75C83">
        <w:t xml:space="preserve"> safe</w:t>
      </w:r>
      <w:r w:rsidR="008F5725" w:rsidRPr="690957E2">
        <w:t>,</w:t>
      </w:r>
      <w:r>
        <w:t xml:space="preserve"> accessible, </w:t>
      </w:r>
      <w:r w:rsidR="008F5725">
        <w:t xml:space="preserve">responsive, </w:t>
      </w:r>
      <w:r>
        <w:t xml:space="preserve">integrated housing system and </w:t>
      </w:r>
      <w:r w:rsidR="008F5725">
        <w:t xml:space="preserve">for </w:t>
      </w:r>
      <w:r>
        <w:t xml:space="preserve">the </w:t>
      </w:r>
      <w:r w:rsidR="008F5725">
        <w:t>department to</w:t>
      </w:r>
      <w:r>
        <w:t xml:space="preserve"> support other government agencies to deliver their essential services </w:t>
      </w:r>
    </w:p>
    <w:p w14:paraId="67CAC1D7" w14:textId="519F86B6" w:rsidR="003B0F17" w:rsidRDefault="003B0F17" w:rsidP="00096C6C">
      <w:pPr>
        <w:pStyle w:val="Bullets"/>
      </w:pPr>
      <w:r>
        <w:t xml:space="preserve">to have </w:t>
      </w:r>
      <w:r w:rsidR="009A1E4D">
        <w:t xml:space="preserve">a </w:t>
      </w:r>
      <w:r>
        <w:t>safer</w:t>
      </w:r>
      <w:r w:rsidR="00F75C83" w:rsidRPr="690957E2">
        <w:t>,</w:t>
      </w:r>
      <w:r>
        <w:t xml:space="preserve"> fairer </w:t>
      </w:r>
      <w:r w:rsidR="00F75C83">
        <w:t>and sustainable environment for industries</w:t>
      </w:r>
      <w:r>
        <w:t xml:space="preserve"> through effective policy development and administration, that also supports business innovation and growth</w:t>
      </w:r>
    </w:p>
    <w:p w14:paraId="687B3C81" w14:textId="77777777" w:rsidR="003B0F17" w:rsidRDefault="003B0F17" w:rsidP="00096C6C">
      <w:pPr>
        <w:pStyle w:val="Bullets"/>
      </w:pPr>
      <w:r>
        <w:t xml:space="preserve">to support employment and economic opportunities in Queensland’s communities, and deliver value through the department’s effective use of resources, strategic procurement, and strong partnerships </w:t>
      </w:r>
    </w:p>
    <w:p w14:paraId="5ACD142D" w14:textId="684015E9" w:rsidR="003B0F17" w:rsidRDefault="003B0F17" w:rsidP="00096C6C">
      <w:pPr>
        <w:pStyle w:val="Bullets"/>
      </w:pPr>
      <w:r>
        <w:t xml:space="preserve">to empower our people by being a </w:t>
      </w:r>
      <w:r w:rsidR="00F75C83">
        <w:t>collaborative, integrated</w:t>
      </w:r>
      <w:r>
        <w:t xml:space="preserve"> organisation, focussed on quality services and performance excellence. </w:t>
      </w:r>
    </w:p>
    <w:p w14:paraId="7E625B8E" w14:textId="77777777" w:rsidR="00190128" w:rsidRPr="001A61FF" w:rsidRDefault="00190128" w:rsidP="00040E2E">
      <w:pPr>
        <w:spacing w:before="160" w:after="0"/>
      </w:pPr>
      <w:r>
        <w:t>T</w:t>
      </w:r>
      <w:r w:rsidRPr="001A61FF">
        <w:t xml:space="preserve">he following </w:t>
      </w:r>
      <w:r>
        <w:t xml:space="preserve">pages highlight </w:t>
      </w:r>
      <w:r w:rsidR="00B42D55">
        <w:t>our key achievements against our strategic objectives</w:t>
      </w:r>
      <w:r w:rsidR="000A3814">
        <w:t xml:space="preserve"> and how</w:t>
      </w:r>
      <w:r>
        <w:t xml:space="preserve"> we measured o</w:t>
      </w:r>
      <w:r w:rsidR="000A3814">
        <w:t>ur performance during 2016–17</w:t>
      </w:r>
      <w:r>
        <w:t>.</w:t>
      </w:r>
    </w:p>
    <w:p w14:paraId="5F15C3D7" w14:textId="77777777" w:rsidR="00190128" w:rsidRDefault="00190128" w:rsidP="00CF0A4C"/>
    <w:p w14:paraId="3F49AAF3" w14:textId="3AF163DD" w:rsidR="00560F0E" w:rsidRDefault="00560F0E" w:rsidP="00CF0A4C">
      <w:pPr>
        <w:rPr>
          <w:rFonts w:eastAsiaTheme="majorEastAsia" w:cstheme="majorBidi"/>
          <w:color w:val="4A7090" w:themeColor="background2" w:themeShade="80"/>
          <w:sz w:val="40"/>
          <w:szCs w:val="26"/>
        </w:rPr>
      </w:pPr>
      <w:bookmarkStart w:id="19" w:name="_Toc458777583"/>
      <w:r>
        <w:br w:type="page"/>
      </w:r>
    </w:p>
    <w:p w14:paraId="0A6F6CA6" w14:textId="725B9939" w:rsidR="00B944E9" w:rsidRPr="00027CC0" w:rsidRDefault="001A61FF" w:rsidP="005D3ADE">
      <w:pPr>
        <w:pStyle w:val="Heading1"/>
      </w:pPr>
      <w:bookmarkStart w:id="20" w:name="_Toc494984620"/>
      <w:r w:rsidRPr="00027CC0">
        <w:lastRenderedPageBreak/>
        <w:t xml:space="preserve">Objective 1: </w:t>
      </w:r>
      <w:bookmarkEnd w:id="19"/>
      <w:r w:rsidR="00E00234" w:rsidRPr="00027CC0">
        <w:t>People and communities</w:t>
      </w:r>
      <w:bookmarkEnd w:id="20"/>
    </w:p>
    <w:p w14:paraId="46AE7E1E" w14:textId="77777777" w:rsidR="001F22A3" w:rsidRPr="00027CC0" w:rsidRDefault="001F22A3" w:rsidP="005D3ADE">
      <w:pPr>
        <w:pStyle w:val="Heading1"/>
        <w:sectPr w:rsidR="001F22A3" w:rsidRPr="00027CC0" w:rsidSect="007C6D4C">
          <w:type w:val="continuous"/>
          <w:pgSz w:w="11906" w:h="16838"/>
          <w:pgMar w:top="1440" w:right="1021" w:bottom="1440" w:left="1021" w:header="709" w:footer="709" w:gutter="0"/>
          <w:cols w:space="708"/>
          <w:docGrid w:linePitch="360"/>
        </w:sectPr>
      </w:pPr>
    </w:p>
    <w:p w14:paraId="09C42DB7" w14:textId="435AF4AA" w:rsidR="001963B5" w:rsidRPr="00AF428A" w:rsidRDefault="00E00234" w:rsidP="00792F33">
      <w:pPr>
        <w:pStyle w:val="Heading3"/>
      </w:pPr>
      <w:r w:rsidRPr="00F16F8D">
        <w:t>Better lives, greater opportunities for people and communities</w:t>
      </w:r>
    </w:p>
    <w:p w14:paraId="46D98AF6" w14:textId="77777777" w:rsidR="00B96023" w:rsidRPr="00CA14ED" w:rsidRDefault="00B96023" w:rsidP="00096C6C">
      <w:pPr>
        <w:pStyle w:val="Bullets"/>
        <w:numPr>
          <w:ilvl w:val="0"/>
          <w:numId w:val="0"/>
        </w:numPr>
      </w:pPr>
      <w:r w:rsidRPr="008D2C64">
        <w:t>To build a fair and responsive housing assistance system that provides a continuum of services, we:</w:t>
      </w:r>
    </w:p>
    <w:p w14:paraId="22B4CA99" w14:textId="77777777" w:rsidR="00B96023" w:rsidRDefault="00B96023" w:rsidP="00096C6C">
      <w:pPr>
        <w:pStyle w:val="Bullets"/>
      </w:pPr>
      <w:r>
        <w:t>l</w:t>
      </w:r>
      <w:r w:rsidRPr="00A75914">
        <w:t xml:space="preserve">aunched the </w:t>
      </w:r>
      <w:r>
        <w:t xml:space="preserve">$1.8 billion </w:t>
      </w:r>
      <w:r w:rsidRPr="007B7085">
        <w:rPr>
          <w:i/>
        </w:rPr>
        <w:t>Queensland Housing Strategy 2017–2027</w:t>
      </w:r>
      <w:r w:rsidRPr="00A75914">
        <w:t xml:space="preserve">, a 10-year framework which will drive key reforms to revitalise our housing and homelessness system </w:t>
      </w:r>
    </w:p>
    <w:p w14:paraId="32178FCF" w14:textId="77777777" w:rsidR="00B96023" w:rsidRDefault="00B96023" w:rsidP="00096C6C">
      <w:pPr>
        <w:pStyle w:val="Bullets"/>
      </w:pPr>
      <w:r>
        <w:t>i</w:t>
      </w:r>
      <w:r w:rsidRPr="00A75914">
        <w:t>mplemented a Mental Health Demonstration Project to test a new preventative and early intervention, collaborative approach to integrated housing, health and human service delivery</w:t>
      </w:r>
    </w:p>
    <w:p w14:paraId="4CF4CA18" w14:textId="3854EFC8" w:rsidR="00B96023" w:rsidRDefault="00B96023" w:rsidP="00096C6C">
      <w:pPr>
        <w:pStyle w:val="Bullets"/>
      </w:pPr>
      <w:r>
        <w:t>launched the Dignity First Fund to assist those experiencing homelessness</w:t>
      </w:r>
    </w:p>
    <w:p w14:paraId="486002F9" w14:textId="6B8CE5F7" w:rsidR="00B42B25" w:rsidRPr="00A331FA" w:rsidRDefault="00B42B25" w:rsidP="00D675BC">
      <w:pPr>
        <w:pStyle w:val="Bullets"/>
      </w:pPr>
      <w:r>
        <w:t xml:space="preserve">commenced </w:t>
      </w:r>
      <w:r w:rsidRPr="0046370F">
        <w:t>t</w:t>
      </w:r>
      <w:r w:rsidRPr="00A331FA">
        <w:t>rialling new services for high need client groups</w:t>
      </w:r>
      <w:r w:rsidR="00EB6E33">
        <w:t>,</w:t>
      </w:r>
      <w:r w:rsidRPr="00A331FA">
        <w:t xml:space="preserve"> including </w:t>
      </w:r>
      <w:r>
        <w:t>homeless</w:t>
      </w:r>
      <w:r w:rsidRPr="00A331FA">
        <w:t xml:space="preserve"> young people </w:t>
      </w:r>
      <w:r>
        <w:t xml:space="preserve">on the Gold Coast </w:t>
      </w:r>
      <w:r w:rsidRPr="00A331FA">
        <w:t>and women and children escaping domestic and family violence on the Sunshine Coast</w:t>
      </w:r>
    </w:p>
    <w:p w14:paraId="45DB47CD" w14:textId="53B1BB4D" w:rsidR="00B42B25" w:rsidRDefault="00B42B25" w:rsidP="00E05961">
      <w:pPr>
        <w:pStyle w:val="Bullets"/>
      </w:pPr>
      <w:r>
        <w:t>delivered NRL Cowboys House</w:t>
      </w:r>
      <w:r w:rsidRPr="00A331FA">
        <w:t xml:space="preserve"> </w:t>
      </w:r>
      <w:r>
        <w:t>to provide accommodation in Townsville for</w:t>
      </w:r>
      <w:r w:rsidRPr="00A331FA">
        <w:t xml:space="preserve"> students from Aboriginal and Torres Strait Islander communities </w:t>
      </w:r>
      <w:r>
        <w:t xml:space="preserve">to </w:t>
      </w:r>
      <w:r w:rsidRPr="00A331FA">
        <w:t>pursu</w:t>
      </w:r>
      <w:r>
        <w:t>e</w:t>
      </w:r>
      <w:r w:rsidRPr="00A331FA">
        <w:t xml:space="preserve"> employment, education and training opportunities</w:t>
      </w:r>
      <w:r>
        <w:t>.</w:t>
      </w:r>
    </w:p>
    <w:p w14:paraId="522EBFB1" w14:textId="77777777" w:rsidR="00A75914" w:rsidRPr="00D675BC" w:rsidRDefault="00A75914" w:rsidP="00F16F8D">
      <w:pPr>
        <w:spacing w:before="160"/>
        <w:rPr>
          <w:b/>
        </w:rPr>
      </w:pPr>
      <w:r w:rsidRPr="00D675BC">
        <w:rPr>
          <w:b/>
        </w:rPr>
        <w:t>To improve access to safe, accessible and affordable homes</w:t>
      </w:r>
      <w:r w:rsidR="00470769" w:rsidRPr="00D675BC">
        <w:rPr>
          <w:b/>
        </w:rPr>
        <w:t>,</w:t>
      </w:r>
      <w:r w:rsidRPr="00D675BC">
        <w:rPr>
          <w:rFonts w:eastAsia="Times New Roman"/>
          <w:b/>
        </w:rPr>
        <w:t xml:space="preserve"> we:</w:t>
      </w:r>
    </w:p>
    <w:p w14:paraId="041AAA8A" w14:textId="5DC79AD7" w:rsidR="00B96023" w:rsidRPr="00A75914" w:rsidRDefault="00B96023" w:rsidP="00096C6C">
      <w:pPr>
        <w:pStyle w:val="Bullets"/>
      </w:pPr>
      <w:r>
        <w:t xml:space="preserve">announced, as part of the </w:t>
      </w:r>
      <w:r w:rsidR="00564088">
        <w:t xml:space="preserve">Queensland </w:t>
      </w:r>
      <w:r>
        <w:t>Housing Strategy, the $1.6 billion Housing Construction Jobs Program which over the next 10 years will deliver more social and affordable housing across the state</w:t>
      </w:r>
      <w:r w:rsidR="00FB6513">
        <w:t>, including</w:t>
      </w:r>
      <w:r w:rsidR="00480961">
        <w:t xml:space="preserve"> leveraging partnerships with private industry and local governments,</w:t>
      </w:r>
      <w:r w:rsidR="00B42B25">
        <w:t xml:space="preserve"> and support job creation through a pipeline of development</w:t>
      </w:r>
    </w:p>
    <w:p w14:paraId="5D7D22AF" w14:textId="20170057" w:rsidR="00A75914" w:rsidRPr="00A75914" w:rsidRDefault="00C9341B" w:rsidP="00096C6C">
      <w:pPr>
        <w:pStyle w:val="Bullets"/>
      </w:pPr>
      <w:r>
        <w:t xml:space="preserve">built and purchased </w:t>
      </w:r>
      <w:r w:rsidR="00A75914" w:rsidRPr="00A75914">
        <w:t>562</w:t>
      </w:r>
      <w:r w:rsidR="00A75914" w:rsidRPr="00A75914">
        <w:rPr>
          <w:rStyle w:val="CommentReference"/>
          <w:sz w:val="22"/>
          <w:szCs w:val="22"/>
        </w:rPr>
        <w:t xml:space="preserve"> </w:t>
      </w:r>
      <w:r w:rsidR="00A75914" w:rsidRPr="00A75914">
        <w:t xml:space="preserve">new social housing dwellings (including in Aboriginal and Torres Strait Islander communities) </w:t>
      </w:r>
    </w:p>
    <w:p w14:paraId="5D8371EC" w14:textId="399BD38F" w:rsidR="00637835" w:rsidRDefault="003F19DD" w:rsidP="00096C6C">
      <w:pPr>
        <w:pStyle w:val="Bullets"/>
      </w:pPr>
      <w:r>
        <w:t>provided</w:t>
      </w:r>
      <w:r w:rsidRPr="690957E2">
        <w:t xml:space="preserve"> </w:t>
      </w:r>
      <w:r w:rsidR="00A75914" w:rsidRPr="00A75914">
        <w:t>10,109 upgrades to existing social housing dwellings, including disability modifications</w:t>
      </w:r>
    </w:p>
    <w:p w14:paraId="24A87116" w14:textId="42E32ECC" w:rsidR="00A75914" w:rsidRPr="00A75914" w:rsidRDefault="00637835" w:rsidP="00096C6C">
      <w:pPr>
        <w:pStyle w:val="Bullets"/>
      </w:pPr>
      <w:r>
        <w:t>continued efforts to support home ownership on Aboriginal and Torres Strait Islander land</w:t>
      </w:r>
      <w:r w:rsidR="005A4FF8" w:rsidRPr="690957E2">
        <w:t>.</w:t>
      </w:r>
    </w:p>
    <w:p w14:paraId="289708E1" w14:textId="77777777" w:rsidR="00A75914" w:rsidRDefault="00A75914" w:rsidP="00D675BC">
      <w:pPr>
        <w:pStyle w:val="Bullets"/>
        <w:numPr>
          <w:ilvl w:val="0"/>
          <w:numId w:val="0"/>
        </w:numPr>
        <w:ind w:left="360"/>
      </w:pPr>
    </w:p>
    <w:p w14:paraId="0E75FDEE" w14:textId="183060D7" w:rsidR="00A75914" w:rsidRPr="00B737A9" w:rsidRDefault="00427A18" w:rsidP="00E05961">
      <w:pPr>
        <w:pStyle w:val="Bullets"/>
        <w:numPr>
          <w:ilvl w:val="0"/>
          <w:numId w:val="0"/>
        </w:numPr>
      </w:pPr>
      <w:r w:rsidRPr="008D2C64">
        <w:t>To s</w:t>
      </w:r>
      <w:r w:rsidR="00A75914" w:rsidRPr="00CA14ED">
        <w:t xml:space="preserve">upport other </w:t>
      </w:r>
      <w:r w:rsidR="00EB6E33" w:rsidRPr="00CA14ED">
        <w:t>g</w:t>
      </w:r>
      <w:r w:rsidR="00A75914" w:rsidRPr="0085403E">
        <w:t>overnment departments that are delivering essential services, par</w:t>
      </w:r>
      <w:r w:rsidR="00A75914" w:rsidRPr="00B737A9">
        <w:t>ticularly in more regional and remote communities</w:t>
      </w:r>
      <w:r w:rsidR="009B3564" w:rsidRPr="00B737A9">
        <w:t>,</w:t>
      </w:r>
      <w:r w:rsidRPr="00B737A9">
        <w:t xml:space="preserve"> we:</w:t>
      </w:r>
    </w:p>
    <w:p w14:paraId="6AEB88C1" w14:textId="7A34C4AB" w:rsidR="00A75914" w:rsidRPr="00A75914" w:rsidRDefault="0006515A">
      <w:pPr>
        <w:pStyle w:val="Bullets"/>
      </w:pPr>
      <w:r>
        <w:t xml:space="preserve">delivered </w:t>
      </w:r>
      <w:r w:rsidR="00A75914" w:rsidRPr="00A75914">
        <w:t xml:space="preserve">31 new government employee residences in Thursday Island, Cooktown, Mornington Island and Weipa </w:t>
      </w:r>
      <w:r w:rsidR="00A75914" w:rsidRPr="00427A18">
        <w:t>enabling</w:t>
      </w:r>
      <w:r w:rsidR="00A75914" w:rsidRPr="00A75914">
        <w:t xml:space="preserve"> the provision of essential services in these communities</w:t>
      </w:r>
    </w:p>
    <w:p w14:paraId="68EA410F" w14:textId="1743AC92" w:rsidR="00A75914" w:rsidRPr="00A75914" w:rsidRDefault="009B3564">
      <w:pPr>
        <w:pStyle w:val="Bullets"/>
      </w:pPr>
      <w:r>
        <w:t>d</w:t>
      </w:r>
      <w:r w:rsidR="00A75914" w:rsidRPr="00A75914">
        <w:t xml:space="preserve">elivered fit-for-purpose vehicles for </w:t>
      </w:r>
      <w:r w:rsidR="00564088">
        <w:t xml:space="preserve">Queensland </w:t>
      </w:r>
      <w:r w:rsidR="00A75914" w:rsidRPr="00A75914">
        <w:t xml:space="preserve">Corrective Services and </w:t>
      </w:r>
      <w:r w:rsidR="00564088">
        <w:t xml:space="preserve">the </w:t>
      </w:r>
      <w:r w:rsidR="00A75914" w:rsidRPr="00A75914">
        <w:t>Department of Education and Training</w:t>
      </w:r>
      <w:r w:rsidR="00DA47D3" w:rsidRPr="690957E2">
        <w:t>.</w:t>
      </w:r>
    </w:p>
    <w:p w14:paraId="6B902A2C" w14:textId="77777777" w:rsidR="00A75914" w:rsidRDefault="00A75914">
      <w:pPr>
        <w:pStyle w:val="Bullets"/>
        <w:numPr>
          <w:ilvl w:val="0"/>
          <w:numId w:val="0"/>
        </w:numPr>
        <w:ind w:left="360"/>
      </w:pPr>
    </w:p>
    <w:p w14:paraId="38C4B92C" w14:textId="19D36879" w:rsidR="00A75914" w:rsidRPr="0085403E" w:rsidRDefault="00427A18">
      <w:pPr>
        <w:pStyle w:val="Bullets"/>
        <w:numPr>
          <w:ilvl w:val="0"/>
          <w:numId w:val="0"/>
        </w:numPr>
      </w:pPr>
      <w:r w:rsidRPr="008D2C64">
        <w:t>To i</w:t>
      </w:r>
      <w:r w:rsidR="00A75914" w:rsidRPr="00CA14ED">
        <w:t>mprove the health and safety of people in their homes through effective policy and regulation</w:t>
      </w:r>
      <w:r w:rsidR="00DA47D3" w:rsidRPr="00CA14ED">
        <w:t>, we:</w:t>
      </w:r>
    </w:p>
    <w:p w14:paraId="7DCEBA7B" w14:textId="2F3F4F0C" w:rsidR="00A75914" w:rsidRPr="00A06463" w:rsidRDefault="00FF2A9D">
      <w:pPr>
        <w:pStyle w:val="Bullets"/>
      </w:pPr>
      <w:r>
        <w:t>drafted</w:t>
      </w:r>
      <w:r w:rsidRPr="00A75914">
        <w:t xml:space="preserve"> </w:t>
      </w:r>
      <w:r w:rsidR="00A75914" w:rsidRPr="00A75914">
        <w:t xml:space="preserve">amendments to the </w:t>
      </w:r>
      <w:r w:rsidR="00A75914" w:rsidRPr="007B7085">
        <w:t>Residential Services (Accreditation) Act 2002,</w:t>
      </w:r>
      <w:r w:rsidR="00564088">
        <w:t xml:space="preserve"> the</w:t>
      </w:r>
      <w:r w:rsidR="00A75914" w:rsidRPr="007B7085">
        <w:t xml:space="preserve"> Retirement Villages Act 1999</w:t>
      </w:r>
      <w:r w:rsidR="00A75914" w:rsidRPr="00A75914">
        <w:t xml:space="preserve"> and the </w:t>
      </w:r>
      <w:r w:rsidR="00A75914" w:rsidRPr="007B7085">
        <w:t>Manufactured Homes (Residential Parks) Act 2003</w:t>
      </w:r>
      <w:r w:rsidR="00A75914" w:rsidRPr="00A75914">
        <w:t xml:space="preserve"> to enhance fairness </w:t>
      </w:r>
      <w:r w:rsidR="00A75914" w:rsidRPr="00A06463">
        <w:t>and consumer protection</w:t>
      </w:r>
    </w:p>
    <w:p w14:paraId="1A4B0A9D" w14:textId="6CFA327E" w:rsidR="00D75EFE" w:rsidRPr="00AF428A" w:rsidRDefault="00DA47D3">
      <w:pPr>
        <w:pStyle w:val="Bullets"/>
        <w:rPr>
          <w:rFonts w:eastAsiaTheme="majorEastAsia" w:cstheme="majorBidi"/>
        </w:rPr>
      </w:pPr>
      <w:r w:rsidRPr="00A06463">
        <w:t>i</w:t>
      </w:r>
      <w:r w:rsidR="00A75914" w:rsidRPr="00A06463">
        <w:t>nvestigated unregulated operators of resi</w:t>
      </w:r>
      <w:r w:rsidR="00A75914" w:rsidRPr="00F8235A">
        <w:t>dential services</w:t>
      </w:r>
      <w:r w:rsidRPr="00F8235A">
        <w:t>.</w:t>
      </w:r>
      <w:r w:rsidR="00D75EFE" w:rsidRPr="00F8235A">
        <w:br w:type="page"/>
      </w:r>
    </w:p>
    <w:p w14:paraId="536AFEA2" w14:textId="5569CFC0" w:rsidR="00233732" w:rsidRDefault="000E2F05" w:rsidP="00792F33">
      <w:pPr>
        <w:pStyle w:val="Heading3"/>
      </w:pPr>
      <w:r w:rsidRPr="001A6487">
        <w:lastRenderedPageBreak/>
        <w:t xml:space="preserve">Our </w:t>
      </w:r>
      <w:r w:rsidR="00C42DD0">
        <w:t>P</w:t>
      </w:r>
      <w:r w:rsidR="00F16BB3">
        <w:t>erformance</w:t>
      </w:r>
    </w:p>
    <w:p w14:paraId="60CD7392" w14:textId="1C12C98B" w:rsidR="008D0713" w:rsidRPr="008D0713" w:rsidRDefault="002B66F6" w:rsidP="00CF0A4C">
      <w:r w:rsidRPr="5E3A9904">
        <w:t>Data below will be presented as infographics</w:t>
      </w:r>
    </w:p>
    <w:tbl>
      <w:tblPr>
        <w:tblStyle w:val="ListTable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3308"/>
        <w:gridCol w:w="3308"/>
      </w:tblGrid>
      <w:tr w:rsidR="007B54AB" w:rsidRPr="007B54AB" w14:paraId="5C343C67" w14:textId="77777777" w:rsidTr="000427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07" w:type="dxa"/>
          </w:tcPr>
          <w:p w14:paraId="5BA45ADD" w14:textId="48CE0E56" w:rsidR="002C12DB" w:rsidRPr="007B54AB" w:rsidRDefault="002C12DB" w:rsidP="00CF0A4C">
            <w:r w:rsidRPr="007B54AB">
              <w:t>Performance Indicator</w:t>
            </w:r>
          </w:p>
        </w:tc>
        <w:tc>
          <w:tcPr>
            <w:tcW w:w="3308" w:type="dxa"/>
          </w:tcPr>
          <w:p w14:paraId="4B3EC95E" w14:textId="6DC47A8B" w:rsidR="002C12DB" w:rsidRPr="007B54AB" w:rsidRDefault="002C12DB" w:rsidP="00CF0A4C">
            <w:pPr>
              <w:cnfStyle w:val="100000000000" w:firstRow="1" w:lastRow="0" w:firstColumn="0" w:lastColumn="0" w:oddVBand="0" w:evenVBand="0" w:oddHBand="0" w:evenHBand="0" w:firstRowFirstColumn="0" w:firstRowLastColumn="0" w:lastRowFirstColumn="0" w:lastRowLastColumn="0"/>
            </w:pPr>
            <w:r w:rsidRPr="007B54AB">
              <w:t>Measure</w:t>
            </w:r>
          </w:p>
        </w:tc>
        <w:tc>
          <w:tcPr>
            <w:tcW w:w="3308" w:type="dxa"/>
          </w:tcPr>
          <w:p w14:paraId="42C0095E" w14:textId="7A6C8342" w:rsidR="002C12DB" w:rsidRPr="007B54AB" w:rsidRDefault="002C12DB" w:rsidP="00CF0A4C">
            <w:pPr>
              <w:cnfStyle w:val="100000000000" w:firstRow="1" w:lastRow="0" w:firstColumn="0" w:lastColumn="0" w:oddVBand="0" w:evenVBand="0" w:oddHBand="0" w:evenHBand="0" w:firstRowFirstColumn="0" w:firstRowLastColumn="0" w:lastRowFirstColumn="0" w:lastRowLastColumn="0"/>
            </w:pPr>
            <w:r w:rsidRPr="007B54AB">
              <w:t>Result</w:t>
            </w:r>
          </w:p>
        </w:tc>
      </w:tr>
      <w:tr w:rsidR="00542A48" w:rsidRPr="007B54AB" w14:paraId="610F1CB5" w14:textId="41F791E1" w:rsidTr="00A0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056BDC45" w14:textId="0DAFEF84" w:rsidR="00542A48" w:rsidRPr="007B54AB" w:rsidRDefault="00542A48" w:rsidP="00CF0A4C">
            <w:r w:rsidRPr="007B54AB">
              <w:t>Needs-based housing assistance reforms</w:t>
            </w:r>
          </w:p>
        </w:tc>
        <w:tc>
          <w:tcPr>
            <w:tcW w:w="3308" w:type="dxa"/>
            <w:shd w:val="clear" w:color="auto" w:fill="FFFFFF" w:themeFill="background1"/>
          </w:tcPr>
          <w:p w14:paraId="06E3826C" w14:textId="7FE48B89"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rsidRPr="007B54AB">
              <w:t xml:space="preserve">Housing Strategy developed and implementation in progress </w:t>
            </w:r>
          </w:p>
        </w:tc>
        <w:tc>
          <w:tcPr>
            <w:tcW w:w="3308" w:type="dxa"/>
            <w:shd w:val="clear" w:color="auto" w:fill="FFFFFF" w:themeFill="background1"/>
          </w:tcPr>
          <w:p w14:paraId="3DE65E2C" w14:textId="5753EDDD"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rsidRPr="007B7085">
              <w:rPr>
                <w:i/>
              </w:rPr>
              <w:t>Queensland Housin</w:t>
            </w:r>
            <w:r w:rsidRPr="007B64A6">
              <w:rPr>
                <w:i/>
              </w:rPr>
              <w:t>g Strategy 2017–</w:t>
            </w:r>
            <w:r w:rsidRPr="007B7085">
              <w:rPr>
                <w:i/>
              </w:rPr>
              <w:t>2027</w:t>
            </w:r>
            <w:r w:rsidRPr="007B54AB">
              <w:t xml:space="preserve"> published</w:t>
            </w:r>
          </w:p>
          <w:p w14:paraId="51A4374F" w14:textId="49D90D74"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rsidRPr="007B54AB">
              <w:t>Action Plan 2017</w:t>
            </w:r>
            <w:r>
              <w:t>–</w:t>
            </w:r>
            <w:r w:rsidRPr="007B54AB">
              <w:t>20 published</w:t>
            </w:r>
          </w:p>
        </w:tc>
      </w:tr>
      <w:tr w:rsidR="00542A48" w:rsidRPr="007B54AB" w14:paraId="2CAE75C6" w14:textId="23EAB1FC" w:rsidTr="00A07DB0">
        <w:tc>
          <w:tcPr>
            <w:cnfStyle w:val="001000000000" w:firstRow="0" w:lastRow="0" w:firstColumn="1" w:lastColumn="0" w:oddVBand="0" w:evenVBand="0" w:oddHBand="0" w:evenHBand="0" w:firstRowFirstColumn="0" w:firstRowLastColumn="0" w:lastRowFirstColumn="0" w:lastRowLastColumn="0"/>
            <w:tcW w:w="3307" w:type="dxa"/>
          </w:tcPr>
          <w:p w14:paraId="13A20667" w14:textId="718462E0" w:rsidR="00542A48" w:rsidRPr="007B54AB" w:rsidRDefault="00AE3231" w:rsidP="00CF0A4C">
            <w:r w:rsidRPr="007B54AB">
              <w:t>Needs-based housing assistance reforms</w:t>
            </w:r>
          </w:p>
        </w:tc>
        <w:tc>
          <w:tcPr>
            <w:tcW w:w="3308" w:type="dxa"/>
            <w:shd w:val="clear" w:color="auto" w:fill="FFFFFF" w:themeFill="background1"/>
          </w:tcPr>
          <w:p w14:paraId="1BCD43CB" w14:textId="26E5F0A3"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 xml:space="preserve">Percentage of new households assisted into </w:t>
            </w:r>
            <w:r>
              <w:t>g</w:t>
            </w:r>
            <w:r w:rsidRPr="007B54AB">
              <w:t xml:space="preserve">overnment-managed social rental housing who were in very high or high need </w:t>
            </w:r>
          </w:p>
        </w:tc>
        <w:tc>
          <w:tcPr>
            <w:tcW w:w="3308" w:type="dxa"/>
            <w:shd w:val="clear" w:color="auto" w:fill="FFFFFF" w:themeFill="background1"/>
          </w:tcPr>
          <w:p w14:paraId="7DBAD3AE" w14:textId="249CCC0A"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92%</w:t>
            </w:r>
          </w:p>
        </w:tc>
      </w:tr>
      <w:tr w:rsidR="00542A48" w:rsidRPr="007B54AB" w14:paraId="73F7F948" w14:textId="0357B0D4" w:rsidTr="00A07D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0A2A23D1" w14:textId="4E1572EA" w:rsidR="00542A48" w:rsidRPr="007B54AB" w:rsidRDefault="00AE3231" w:rsidP="00CF0A4C">
            <w:r w:rsidRPr="007B54AB">
              <w:t>Needs-based housing assistance reforms</w:t>
            </w:r>
          </w:p>
        </w:tc>
        <w:tc>
          <w:tcPr>
            <w:tcW w:w="3308" w:type="dxa"/>
            <w:shd w:val="clear" w:color="auto" w:fill="FFFFFF" w:themeFill="background1"/>
          </w:tcPr>
          <w:p w14:paraId="3BE8FB28" w14:textId="5890374A"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rsidRPr="007B54AB">
              <w:t xml:space="preserve">Proportion of total new households assisted to remain in or move to the private housing rental market that were assisted through </w:t>
            </w:r>
            <w:r>
              <w:t xml:space="preserve">the </w:t>
            </w:r>
            <w:r w:rsidRPr="007B54AB">
              <w:t xml:space="preserve">National Rental Affordability Scheme, RentConnect, Rental Grants, </w:t>
            </w:r>
            <w:r>
              <w:t xml:space="preserve">the </w:t>
            </w:r>
            <w:r w:rsidRPr="007B54AB">
              <w:t>Housing and Employment Program</w:t>
            </w:r>
            <w:r>
              <w:t>,</w:t>
            </w:r>
            <w:r w:rsidRPr="007B54AB">
              <w:t xml:space="preserve"> Bond Loans</w:t>
            </w:r>
            <w:r>
              <w:t xml:space="preserve"> or</w:t>
            </w:r>
            <w:r w:rsidRPr="5E3A9904">
              <w:t xml:space="preserve"> </w:t>
            </w:r>
            <w:r w:rsidRPr="007B54AB">
              <w:t>QSTARS</w:t>
            </w:r>
            <w:r w:rsidRPr="5E3A9904">
              <w:t xml:space="preserve"> </w:t>
            </w:r>
          </w:p>
        </w:tc>
        <w:tc>
          <w:tcPr>
            <w:tcW w:w="3308" w:type="dxa"/>
            <w:shd w:val="clear" w:color="auto" w:fill="FFFFFF" w:themeFill="background1"/>
          </w:tcPr>
          <w:p w14:paraId="562756CF" w14:textId="2FA5F0BE"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t>78.57%</w:t>
            </w:r>
          </w:p>
        </w:tc>
      </w:tr>
      <w:tr w:rsidR="00542A48" w:rsidRPr="007B54AB" w14:paraId="602EB62B" w14:textId="3E3A19F7" w:rsidTr="00A07DB0">
        <w:tc>
          <w:tcPr>
            <w:cnfStyle w:val="001000000000" w:firstRow="0" w:lastRow="0" w:firstColumn="1" w:lastColumn="0" w:oddVBand="0" w:evenVBand="0" w:oddHBand="0" w:evenHBand="0" w:firstRowFirstColumn="0" w:firstRowLastColumn="0" w:lastRowFirstColumn="0" w:lastRowLastColumn="0"/>
            <w:tcW w:w="3307" w:type="dxa"/>
          </w:tcPr>
          <w:p w14:paraId="5D304BCE" w14:textId="35A302CB" w:rsidR="00542A48" w:rsidRPr="007B54AB" w:rsidRDefault="00AE3231" w:rsidP="00CF0A4C">
            <w:r w:rsidRPr="007B54AB">
              <w:t>Needs-based housing assistance reforms</w:t>
            </w:r>
          </w:p>
        </w:tc>
        <w:tc>
          <w:tcPr>
            <w:tcW w:w="3308" w:type="dxa"/>
            <w:shd w:val="clear" w:color="auto" w:fill="FFFFFF" w:themeFill="background1"/>
          </w:tcPr>
          <w:p w14:paraId="0B233180" w14:textId="3D3F56B1"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Percentage of clients who were homeless or at risk of homelessness</w:t>
            </w:r>
            <w:r>
              <w:t>,</w:t>
            </w:r>
            <w:r w:rsidRPr="007B54AB">
              <w:t xml:space="preserve"> who needed assistance to obtain or maintain independent housing and obtained</w:t>
            </w:r>
            <w:r>
              <w:t>,</w:t>
            </w:r>
            <w:r w:rsidRPr="007B54AB">
              <w:t xml:space="preserve"> or maintained independent housing after support</w:t>
            </w:r>
          </w:p>
        </w:tc>
        <w:tc>
          <w:tcPr>
            <w:tcW w:w="3308" w:type="dxa"/>
            <w:shd w:val="clear" w:color="auto" w:fill="FFFFFF" w:themeFill="background1"/>
          </w:tcPr>
          <w:p w14:paraId="5602FF9B" w14:textId="44384C2B"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65.7%</w:t>
            </w:r>
          </w:p>
        </w:tc>
      </w:tr>
      <w:tr w:rsidR="00542A48" w:rsidRPr="007B54AB" w14:paraId="1A9836AB" w14:textId="4C14C635" w:rsidTr="00A07DB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307" w:type="dxa"/>
          </w:tcPr>
          <w:p w14:paraId="205247CA" w14:textId="36123FC1" w:rsidR="00542A48" w:rsidRPr="007B54AB" w:rsidRDefault="00542A48" w:rsidP="00CF0A4C">
            <w:r w:rsidRPr="007B54AB">
              <w:t>Client Satisfaction</w:t>
            </w:r>
          </w:p>
        </w:tc>
        <w:tc>
          <w:tcPr>
            <w:tcW w:w="3308" w:type="dxa"/>
            <w:shd w:val="clear" w:color="auto" w:fill="FFFFFF" w:themeFill="background1"/>
          </w:tcPr>
          <w:p w14:paraId="5C5BA1E6" w14:textId="0A76A21E" w:rsidR="00542A48" w:rsidRPr="007B54AB" w:rsidRDefault="00542A48" w:rsidP="00C21DFD">
            <w:pPr>
              <w:tabs>
                <w:tab w:val="left" w:pos="409"/>
              </w:tabs>
              <w:cnfStyle w:val="000000100000" w:firstRow="0" w:lastRow="0" w:firstColumn="0" w:lastColumn="0" w:oddVBand="0" w:evenVBand="0" w:oddHBand="1" w:evenHBand="0" w:firstRowFirstColumn="0" w:firstRowLastColumn="0" w:lastRowFirstColumn="0" w:lastRowLastColumn="0"/>
            </w:pPr>
            <w:r w:rsidRPr="007B54AB">
              <w:t xml:space="preserve">Overall client satisfaction with: </w:t>
            </w:r>
          </w:p>
          <w:p w14:paraId="7B0F7213" w14:textId="1E1D5727" w:rsidR="00542A48" w:rsidRPr="007B54AB" w:rsidRDefault="00542A48" w:rsidP="00C21DFD">
            <w:pPr>
              <w:tabs>
                <w:tab w:val="left" w:pos="409"/>
              </w:tabs>
              <w:cnfStyle w:val="000000100000" w:firstRow="0" w:lastRow="0" w:firstColumn="0" w:lastColumn="0" w:oddVBand="0" w:evenVBand="0" w:oddHBand="1" w:evenHBand="0" w:firstRowFirstColumn="0" w:firstRowLastColumn="0" w:lastRowFirstColumn="0" w:lastRowLastColumn="0"/>
            </w:pPr>
            <w:r>
              <w:tab/>
            </w:r>
            <w:r w:rsidRPr="007B54AB">
              <w:t>Bond loans</w:t>
            </w:r>
          </w:p>
        </w:tc>
        <w:tc>
          <w:tcPr>
            <w:tcW w:w="3308" w:type="dxa"/>
            <w:shd w:val="clear" w:color="auto" w:fill="FFFFFF" w:themeFill="background1"/>
          </w:tcPr>
          <w:p w14:paraId="3ACDF67A" w14:textId="77777777"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bookmarkStart w:id="21" w:name="_Hlk489603861"/>
          </w:p>
          <w:p w14:paraId="5404C47B" w14:textId="1AE769AE"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rsidRPr="007B54AB">
              <w:t>96%</w:t>
            </w:r>
            <w:bookmarkEnd w:id="21"/>
          </w:p>
        </w:tc>
      </w:tr>
      <w:tr w:rsidR="00542A48" w:rsidRPr="007B54AB" w14:paraId="6A6FC209" w14:textId="77777777" w:rsidTr="00A07DB0">
        <w:trPr>
          <w:trHeight w:val="281"/>
        </w:trPr>
        <w:tc>
          <w:tcPr>
            <w:cnfStyle w:val="001000000000" w:firstRow="0" w:lastRow="0" w:firstColumn="1" w:lastColumn="0" w:oddVBand="0" w:evenVBand="0" w:oddHBand="0" w:evenHBand="0" w:firstRowFirstColumn="0" w:firstRowLastColumn="0" w:lastRowFirstColumn="0" w:lastRowLastColumn="0"/>
            <w:tcW w:w="3307" w:type="dxa"/>
          </w:tcPr>
          <w:p w14:paraId="3D120CE7" w14:textId="38CE38A6" w:rsidR="00542A48" w:rsidRPr="007B54AB" w:rsidRDefault="00AE3231" w:rsidP="00CF0A4C">
            <w:r w:rsidRPr="007B54AB">
              <w:t>Client Satisfaction</w:t>
            </w:r>
          </w:p>
        </w:tc>
        <w:tc>
          <w:tcPr>
            <w:tcW w:w="3308" w:type="dxa"/>
            <w:shd w:val="clear" w:color="auto" w:fill="FFFFFF" w:themeFill="background1"/>
          </w:tcPr>
          <w:p w14:paraId="7885D69A" w14:textId="4F06A933" w:rsidR="00542A48" w:rsidRPr="007B54AB" w:rsidRDefault="00542A48" w:rsidP="00C21DFD">
            <w:pPr>
              <w:tabs>
                <w:tab w:val="left" w:pos="409"/>
              </w:tabs>
              <w:cnfStyle w:val="000000000000" w:firstRow="0" w:lastRow="0" w:firstColumn="0" w:lastColumn="0" w:oddVBand="0" w:evenVBand="0" w:oddHBand="0" w:evenHBand="0" w:firstRowFirstColumn="0" w:firstRowLastColumn="0" w:lastRowFirstColumn="0" w:lastRowLastColumn="0"/>
            </w:pPr>
            <w:r>
              <w:tab/>
            </w:r>
            <w:r w:rsidRPr="007B54AB">
              <w:t>Public housing</w:t>
            </w:r>
          </w:p>
        </w:tc>
        <w:tc>
          <w:tcPr>
            <w:tcW w:w="3308" w:type="dxa"/>
            <w:shd w:val="clear" w:color="auto" w:fill="FFFFFF" w:themeFill="background1"/>
          </w:tcPr>
          <w:p w14:paraId="4186C63C" w14:textId="3E0B68AA"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85.8%</w:t>
            </w:r>
          </w:p>
        </w:tc>
      </w:tr>
      <w:tr w:rsidR="00542A48" w:rsidRPr="007B54AB" w14:paraId="0DD0DC10" w14:textId="77777777" w:rsidTr="00A07DB0">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307" w:type="dxa"/>
          </w:tcPr>
          <w:p w14:paraId="5C73D618" w14:textId="3F38CFCD" w:rsidR="00542A48" w:rsidRPr="007B54AB" w:rsidRDefault="00AE3231" w:rsidP="00CF0A4C">
            <w:r w:rsidRPr="007B54AB">
              <w:t>Client Satisfaction</w:t>
            </w:r>
          </w:p>
        </w:tc>
        <w:tc>
          <w:tcPr>
            <w:tcW w:w="3308" w:type="dxa"/>
            <w:shd w:val="clear" w:color="auto" w:fill="FFFFFF" w:themeFill="background1"/>
          </w:tcPr>
          <w:p w14:paraId="62E9361A" w14:textId="53475698" w:rsidR="00542A48" w:rsidRPr="007B54AB" w:rsidRDefault="00542A48" w:rsidP="00C21DFD">
            <w:pPr>
              <w:tabs>
                <w:tab w:val="left" w:pos="409"/>
              </w:tabs>
              <w:cnfStyle w:val="000000100000" w:firstRow="0" w:lastRow="0" w:firstColumn="0" w:lastColumn="0" w:oddVBand="0" w:evenVBand="0" w:oddHBand="1" w:evenHBand="0" w:firstRowFirstColumn="0" w:firstRowLastColumn="0" w:lastRowFirstColumn="0" w:lastRowLastColumn="0"/>
            </w:pPr>
            <w:r>
              <w:tab/>
            </w:r>
            <w:r w:rsidRPr="007B54AB">
              <w:t>Community housing</w:t>
            </w:r>
          </w:p>
        </w:tc>
        <w:tc>
          <w:tcPr>
            <w:tcW w:w="3308" w:type="dxa"/>
            <w:shd w:val="clear" w:color="auto" w:fill="FFFFFF" w:themeFill="background1"/>
          </w:tcPr>
          <w:p w14:paraId="27CD660E" w14:textId="07EB2DFA"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rsidRPr="007B54AB">
              <w:t>78.3%</w:t>
            </w:r>
          </w:p>
        </w:tc>
      </w:tr>
      <w:tr w:rsidR="00542A48" w:rsidRPr="007B54AB" w14:paraId="376B6218" w14:textId="55F28BBB" w:rsidTr="00542A48">
        <w:tc>
          <w:tcPr>
            <w:cnfStyle w:val="001000000000" w:firstRow="0" w:lastRow="0" w:firstColumn="1" w:lastColumn="0" w:oddVBand="0" w:evenVBand="0" w:oddHBand="0" w:evenHBand="0" w:firstRowFirstColumn="0" w:firstRowLastColumn="0" w:lastRowFirstColumn="0" w:lastRowLastColumn="0"/>
            <w:tcW w:w="3307" w:type="dxa"/>
          </w:tcPr>
          <w:p w14:paraId="25AB2D4C" w14:textId="26B95CA1" w:rsidR="00542A48" w:rsidRPr="007B54AB" w:rsidRDefault="00542A48" w:rsidP="00CF0A4C">
            <w:r w:rsidRPr="007B54AB">
              <w:t>Level of compliance with residential sector legislation</w:t>
            </w:r>
          </w:p>
        </w:tc>
        <w:tc>
          <w:tcPr>
            <w:tcW w:w="3308" w:type="dxa"/>
            <w:shd w:val="clear" w:color="auto" w:fill="FFFFFF" w:themeFill="background1"/>
          </w:tcPr>
          <w:p w14:paraId="5C760A06" w14:textId="149FE994"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 xml:space="preserve">Percentage of residential sector compliance with the </w:t>
            </w:r>
            <w:r w:rsidRPr="005C0509">
              <w:rPr>
                <w:i/>
              </w:rPr>
              <w:t>Residential Services (Accreditation) Act 2002</w:t>
            </w:r>
          </w:p>
        </w:tc>
        <w:tc>
          <w:tcPr>
            <w:tcW w:w="3308" w:type="dxa"/>
            <w:shd w:val="clear" w:color="auto" w:fill="FFFFFF" w:themeFill="background1"/>
          </w:tcPr>
          <w:p w14:paraId="54E77819" w14:textId="56D14AFB"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93%</w:t>
            </w:r>
          </w:p>
        </w:tc>
      </w:tr>
      <w:tr w:rsidR="00542A48" w:rsidRPr="007B54AB" w14:paraId="49839DB1" w14:textId="4EF737E4" w:rsidTr="00542A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414217FE" w14:textId="281E00D5" w:rsidR="00542A48" w:rsidRPr="007B54AB" w:rsidRDefault="00AE3231" w:rsidP="00CF0A4C">
            <w:r w:rsidRPr="007B54AB">
              <w:t>Level of compliance with residential sector legislation</w:t>
            </w:r>
          </w:p>
        </w:tc>
        <w:tc>
          <w:tcPr>
            <w:tcW w:w="3308" w:type="dxa"/>
            <w:shd w:val="clear" w:color="auto" w:fill="FFFFFF" w:themeFill="background1"/>
          </w:tcPr>
          <w:p w14:paraId="2D9F0B5C" w14:textId="21FD2255"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rsidRPr="007B54AB">
              <w:t xml:space="preserve">Percentage of residential sector compliance with the </w:t>
            </w:r>
            <w:r w:rsidRPr="00492F1C">
              <w:rPr>
                <w:i/>
              </w:rPr>
              <w:t>Retirement Villages Act 1999</w:t>
            </w:r>
            <w:r w:rsidRPr="007B54AB">
              <w:t xml:space="preserve"> </w:t>
            </w:r>
          </w:p>
        </w:tc>
        <w:tc>
          <w:tcPr>
            <w:tcW w:w="3308" w:type="dxa"/>
            <w:shd w:val="clear" w:color="auto" w:fill="FFFFFF" w:themeFill="background1"/>
          </w:tcPr>
          <w:p w14:paraId="7D27F360" w14:textId="4DD0CEB6" w:rsidR="00542A48" w:rsidRPr="007B54AB" w:rsidRDefault="00542A48" w:rsidP="00CF0A4C">
            <w:pPr>
              <w:cnfStyle w:val="000000100000" w:firstRow="0" w:lastRow="0" w:firstColumn="0" w:lastColumn="0" w:oddVBand="0" w:evenVBand="0" w:oddHBand="1" w:evenHBand="0" w:firstRowFirstColumn="0" w:firstRowLastColumn="0" w:lastRowFirstColumn="0" w:lastRowLastColumn="0"/>
            </w:pPr>
            <w:r w:rsidRPr="007B54AB">
              <w:t>98%</w:t>
            </w:r>
          </w:p>
        </w:tc>
      </w:tr>
      <w:tr w:rsidR="00542A48" w:rsidRPr="007B54AB" w14:paraId="55302F26" w14:textId="00B0AA02" w:rsidTr="00542A48">
        <w:tc>
          <w:tcPr>
            <w:cnfStyle w:val="001000000000" w:firstRow="0" w:lastRow="0" w:firstColumn="1" w:lastColumn="0" w:oddVBand="0" w:evenVBand="0" w:oddHBand="0" w:evenHBand="0" w:firstRowFirstColumn="0" w:firstRowLastColumn="0" w:lastRowFirstColumn="0" w:lastRowLastColumn="0"/>
            <w:tcW w:w="3307" w:type="dxa"/>
          </w:tcPr>
          <w:p w14:paraId="234603AD" w14:textId="62610766" w:rsidR="00542A48" w:rsidRPr="007B54AB" w:rsidRDefault="00AE3231" w:rsidP="00CF0A4C">
            <w:r w:rsidRPr="007B54AB">
              <w:t>Level of compliance with residential sector legislation</w:t>
            </w:r>
          </w:p>
        </w:tc>
        <w:tc>
          <w:tcPr>
            <w:tcW w:w="3308" w:type="dxa"/>
            <w:shd w:val="clear" w:color="auto" w:fill="FFFFFF" w:themeFill="background1"/>
          </w:tcPr>
          <w:p w14:paraId="59455DE6" w14:textId="3B028974"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 xml:space="preserve">Percentage of residential sector compliance with the </w:t>
            </w:r>
            <w:r w:rsidRPr="00492F1C">
              <w:rPr>
                <w:i/>
              </w:rPr>
              <w:t>Manufactured Homes (Residential Parks) Act 2003</w:t>
            </w:r>
            <w:r w:rsidRPr="007B54AB">
              <w:t xml:space="preserve"> </w:t>
            </w:r>
          </w:p>
        </w:tc>
        <w:tc>
          <w:tcPr>
            <w:tcW w:w="3308" w:type="dxa"/>
            <w:shd w:val="clear" w:color="auto" w:fill="FFFFFF" w:themeFill="background1"/>
          </w:tcPr>
          <w:p w14:paraId="1476B338" w14:textId="0E24A79F" w:rsidR="00542A48" w:rsidRPr="007B54AB" w:rsidRDefault="00542A48" w:rsidP="00CF0A4C">
            <w:pPr>
              <w:cnfStyle w:val="000000000000" w:firstRow="0" w:lastRow="0" w:firstColumn="0" w:lastColumn="0" w:oddVBand="0" w:evenVBand="0" w:oddHBand="0" w:evenHBand="0" w:firstRowFirstColumn="0" w:firstRowLastColumn="0" w:lastRowFirstColumn="0" w:lastRowLastColumn="0"/>
            </w:pPr>
            <w:r w:rsidRPr="007B54AB">
              <w:t>96%</w:t>
            </w:r>
          </w:p>
        </w:tc>
      </w:tr>
      <w:tr w:rsidR="007B54AB" w:rsidRPr="007B54AB" w14:paraId="38A16AE4" w14:textId="28C6306E" w:rsidTr="00D67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7" w:type="dxa"/>
          </w:tcPr>
          <w:p w14:paraId="57A0C640" w14:textId="5D237051" w:rsidR="00954A3A" w:rsidRPr="007B54AB" w:rsidRDefault="00954A3A" w:rsidP="00CF0A4C">
            <w:r w:rsidRPr="007B54AB">
              <w:t>Government employee housing matched to need</w:t>
            </w:r>
          </w:p>
        </w:tc>
        <w:tc>
          <w:tcPr>
            <w:tcW w:w="3308" w:type="dxa"/>
            <w:shd w:val="clear" w:color="auto" w:fill="FFFFFF" w:themeFill="background1"/>
          </w:tcPr>
          <w:p w14:paraId="348DA28A" w14:textId="3A01E7F7" w:rsidR="00954A3A" w:rsidRPr="007B54AB" w:rsidRDefault="00427A18" w:rsidP="00CF0A4C">
            <w:pPr>
              <w:cnfStyle w:val="000000100000" w:firstRow="0" w:lastRow="0" w:firstColumn="0" w:lastColumn="0" w:oddVBand="0" w:evenVBand="0" w:oddHBand="1" w:evenHBand="0" w:firstRowFirstColumn="0" w:firstRowLastColumn="0" w:lastRowFirstColumn="0" w:lastRowLastColumn="0"/>
            </w:pPr>
            <w:r w:rsidRPr="007B54AB">
              <w:t>P</w:t>
            </w:r>
            <w:r w:rsidR="00954A3A" w:rsidRPr="007B54AB">
              <w:t xml:space="preserve">ercentage of </w:t>
            </w:r>
            <w:r w:rsidRPr="007B54AB">
              <w:t xml:space="preserve">new </w:t>
            </w:r>
            <w:r w:rsidR="00954A3A" w:rsidRPr="007B54AB">
              <w:t xml:space="preserve">government employee housing in remote Aboriginal and Torres Strait islander locations </w:t>
            </w:r>
          </w:p>
        </w:tc>
        <w:tc>
          <w:tcPr>
            <w:tcW w:w="3308" w:type="dxa"/>
            <w:shd w:val="clear" w:color="auto" w:fill="FFFFFF" w:themeFill="background1"/>
          </w:tcPr>
          <w:p w14:paraId="563CBD12" w14:textId="057BBB76" w:rsidR="00954A3A" w:rsidRPr="007B54AB" w:rsidRDefault="00954A3A" w:rsidP="00CF0A4C">
            <w:pPr>
              <w:cnfStyle w:val="000000100000" w:firstRow="0" w:lastRow="0" w:firstColumn="0" w:lastColumn="0" w:oddVBand="0" w:evenVBand="0" w:oddHBand="1" w:evenHBand="0" w:firstRowFirstColumn="0" w:firstRowLastColumn="0" w:lastRowFirstColumn="0" w:lastRowLastColumn="0"/>
            </w:pPr>
            <w:r w:rsidRPr="007B54AB">
              <w:t xml:space="preserve">55% </w:t>
            </w:r>
          </w:p>
        </w:tc>
      </w:tr>
    </w:tbl>
    <w:p w14:paraId="071EFCAC" w14:textId="1D93252B" w:rsidR="00EF1F30" w:rsidRDefault="00EF1F30" w:rsidP="00CF0A4C">
      <w:r>
        <w:br w:type="page"/>
      </w:r>
    </w:p>
    <w:p w14:paraId="0DDD40EB" w14:textId="48872478" w:rsidR="003866B4" w:rsidRPr="00673F11" w:rsidRDefault="003866B4" w:rsidP="005D3ADE">
      <w:pPr>
        <w:pStyle w:val="Heading1"/>
      </w:pPr>
      <w:bookmarkStart w:id="22" w:name="_Toc494984621"/>
      <w:r w:rsidRPr="00673F11">
        <w:lastRenderedPageBreak/>
        <w:t xml:space="preserve">Objective 2: </w:t>
      </w:r>
      <w:r w:rsidR="00F73495" w:rsidRPr="00673F11">
        <w:t>Industry, business and the environment</w:t>
      </w:r>
      <w:bookmarkEnd w:id="22"/>
    </w:p>
    <w:p w14:paraId="6E339EAA" w14:textId="4137A47E" w:rsidR="00AA40D5" w:rsidRPr="00B737A9" w:rsidRDefault="00663EB7" w:rsidP="00792F33">
      <w:pPr>
        <w:pStyle w:val="Heading3"/>
      </w:pPr>
      <w:r w:rsidRPr="00B737A9">
        <w:t>A safer, fairer and sustainable environment for industries</w:t>
      </w:r>
    </w:p>
    <w:p w14:paraId="4ED4C98D" w14:textId="2AC8451F" w:rsidR="00B737A9" w:rsidRPr="00B737A9" w:rsidRDefault="00752D69" w:rsidP="00912E38">
      <w:pPr>
        <w:pStyle w:val="Bullets"/>
        <w:numPr>
          <w:ilvl w:val="0"/>
          <w:numId w:val="0"/>
        </w:numPr>
      </w:pPr>
      <w:r w:rsidRPr="008D2C64">
        <w:t>To engage with the building and residential living industries to encourage innovation and growth and</w:t>
      </w:r>
      <w:r w:rsidR="00B737A9" w:rsidRPr="008D2C64">
        <w:t xml:space="preserve"> </w:t>
      </w:r>
      <w:r w:rsidRPr="00B737A9">
        <w:t>inform policy</w:t>
      </w:r>
      <w:r w:rsidR="002E4E15" w:rsidRPr="00B737A9">
        <w:t>,</w:t>
      </w:r>
      <w:r w:rsidRPr="00B737A9">
        <w:t xml:space="preserve"> we</w:t>
      </w:r>
      <w:r w:rsidR="00B737A9" w:rsidRPr="00B737A9">
        <w:t>:</w:t>
      </w:r>
    </w:p>
    <w:p w14:paraId="5DC91DE7" w14:textId="60106DDB" w:rsidR="00752D69" w:rsidRPr="00752D69" w:rsidRDefault="0051585B" w:rsidP="00096C6C">
      <w:pPr>
        <w:pStyle w:val="Bullets"/>
      </w:pPr>
      <w:r>
        <w:t>c</w:t>
      </w:r>
      <w:r w:rsidR="00752D69" w:rsidRPr="00752D69">
        <w:t>onsulted extensively</w:t>
      </w:r>
      <w:r w:rsidR="00A20BC7" w:rsidRPr="690957E2">
        <w:t xml:space="preserve"> </w:t>
      </w:r>
      <w:r w:rsidR="00752D69" w:rsidRPr="00752D69">
        <w:t xml:space="preserve">with industry and communities </w:t>
      </w:r>
      <w:r w:rsidR="009E3A6E">
        <w:t>throughout Queensland</w:t>
      </w:r>
      <w:r w:rsidR="009E3A6E" w:rsidRPr="690957E2">
        <w:t xml:space="preserve"> </w:t>
      </w:r>
      <w:r w:rsidR="00752D69" w:rsidRPr="00752D69">
        <w:t xml:space="preserve">through the release of the </w:t>
      </w:r>
      <w:r w:rsidR="00752D69" w:rsidRPr="00912E38">
        <w:t>Queensland Building Plan – A discussion paper</w:t>
      </w:r>
      <w:r w:rsidR="00752D69" w:rsidRPr="00752D69">
        <w:t xml:space="preserve"> for industry and consumers</w:t>
      </w:r>
      <w:r w:rsidR="0011732C" w:rsidRPr="690957E2">
        <w:t>.</w:t>
      </w:r>
    </w:p>
    <w:p w14:paraId="3DCF9B36" w14:textId="77777777" w:rsidR="00B737A9" w:rsidRDefault="00B737A9" w:rsidP="00CF0A4C"/>
    <w:p w14:paraId="56DD9CB9" w14:textId="7935A9BA" w:rsidR="00752D69" w:rsidRPr="00912E38" w:rsidRDefault="0051585B" w:rsidP="00CF0A4C">
      <w:pPr>
        <w:rPr>
          <w:b/>
        </w:rPr>
      </w:pPr>
      <w:r w:rsidRPr="00912E38">
        <w:rPr>
          <w:b/>
        </w:rPr>
        <w:t>To d</w:t>
      </w:r>
      <w:r w:rsidR="00752D69" w:rsidRPr="00912E38">
        <w:rPr>
          <w:b/>
        </w:rPr>
        <w:t>evelop and advance policy that ensures safer and fairer building and residential living industries</w:t>
      </w:r>
      <w:r w:rsidRPr="00912E38">
        <w:rPr>
          <w:b/>
        </w:rPr>
        <w:t xml:space="preserve"> we:</w:t>
      </w:r>
    </w:p>
    <w:p w14:paraId="2F8135A4" w14:textId="26EBDB42" w:rsidR="00752D69" w:rsidRPr="0011732C" w:rsidRDefault="00B737A9" w:rsidP="00096C6C">
      <w:pPr>
        <w:pStyle w:val="Bullets"/>
      </w:pPr>
      <w:r>
        <w:t>drafted</w:t>
      </w:r>
      <w:r w:rsidRPr="00822D77">
        <w:t xml:space="preserve"> </w:t>
      </w:r>
      <w:r w:rsidR="00752D69" w:rsidRPr="00822D77">
        <w:t>legislative changes relating to non-conforming building products to improve safety</w:t>
      </w:r>
      <w:r w:rsidR="00A06463">
        <w:t>,</w:t>
      </w:r>
      <w:r w:rsidR="00752D69" w:rsidRPr="00822D77">
        <w:t xml:space="preserve"> </w:t>
      </w:r>
      <w:r w:rsidR="00430661" w:rsidRPr="00822D77">
        <w:t xml:space="preserve">and </w:t>
      </w:r>
      <w:r w:rsidR="0051585B" w:rsidRPr="00822D77">
        <w:t>e</w:t>
      </w:r>
      <w:r w:rsidR="00752D69" w:rsidRPr="00822D77">
        <w:t xml:space="preserve">stablished the </w:t>
      </w:r>
      <w:r w:rsidR="00564088">
        <w:t xml:space="preserve">Non-Conforming Building Products </w:t>
      </w:r>
      <w:r w:rsidR="00752D69" w:rsidRPr="00822D77">
        <w:t>Audit Taskforce</w:t>
      </w:r>
    </w:p>
    <w:p w14:paraId="0AF3AA73" w14:textId="24ED868A" w:rsidR="00752D69" w:rsidRPr="0011732C" w:rsidRDefault="0051585B" w:rsidP="00096C6C">
      <w:pPr>
        <w:pStyle w:val="Bullets"/>
      </w:pPr>
      <w:r w:rsidRPr="00822D77">
        <w:t>p</w:t>
      </w:r>
      <w:r w:rsidR="00752D69" w:rsidRPr="00822D77">
        <w:t>rogressed proposals to improve security of payment for subcontractors</w:t>
      </w:r>
    </w:p>
    <w:p w14:paraId="3B2E91AE" w14:textId="62F3F24B" w:rsidR="00752D69" w:rsidRPr="00752D69" w:rsidRDefault="00B737A9" w:rsidP="00096C6C">
      <w:pPr>
        <w:pStyle w:val="Bullets"/>
      </w:pPr>
      <w:r>
        <w:t>drafted</w:t>
      </w:r>
      <w:r w:rsidRPr="00752D69">
        <w:t xml:space="preserve"> </w:t>
      </w:r>
      <w:r w:rsidR="00752D69" w:rsidRPr="00752D69">
        <w:t>amendments to three Acts relating to the residential living industry to promote fair trading practices, and encourage growth and viability</w:t>
      </w:r>
      <w:r w:rsidR="0011732C" w:rsidRPr="690957E2">
        <w:t>.</w:t>
      </w:r>
    </w:p>
    <w:p w14:paraId="336172BA" w14:textId="22A70A50" w:rsidR="00752D69" w:rsidRPr="00CA14ED" w:rsidRDefault="0051585B" w:rsidP="00096C6C">
      <w:pPr>
        <w:pStyle w:val="Bullets"/>
        <w:numPr>
          <w:ilvl w:val="0"/>
          <w:numId w:val="0"/>
        </w:numPr>
      </w:pPr>
      <w:r w:rsidRPr="008D2C64">
        <w:t>To d</w:t>
      </w:r>
      <w:r w:rsidR="00752D69" w:rsidRPr="008D2C64">
        <w:t>evelop innovative solutions to address environmental sustainability solutions</w:t>
      </w:r>
      <w:r w:rsidR="0011732C" w:rsidRPr="00CA14ED">
        <w:t>,</w:t>
      </w:r>
      <w:r w:rsidRPr="00CA14ED">
        <w:t xml:space="preserve"> we:</w:t>
      </w:r>
    </w:p>
    <w:p w14:paraId="0497A0F3" w14:textId="163023CB" w:rsidR="00752D69" w:rsidRDefault="0027158F" w:rsidP="00D675BC">
      <w:pPr>
        <w:pStyle w:val="Bullets"/>
      </w:pPr>
      <w:r>
        <w:t>i</w:t>
      </w:r>
      <w:r w:rsidR="00752D69" w:rsidRPr="0051585B">
        <w:t>ntroduced</w:t>
      </w:r>
      <w:r w:rsidR="00752D69" w:rsidRPr="00752D69">
        <w:t xml:space="preserve"> improved motor vehicle emissions standards for vehicle procurement to remove vehicles with higher emissions from the fleet</w:t>
      </w:r>
    </w:p>
    <w:p w14:paraId="4FD9E488" w14:textId="3C18A7A9" w:rsidR="0011732C" w:rsidRPr="00752D69" w:rsidRDefault="0011732C" w:rsidP="00E05961">
      <w:pPr>
        <w:pStyle w:val="Bullets"/>
      </w:pPr>
      <w:r>
        <w:t xml:space="preserve">continued auditing energy usage in Queensland Government office accommodation, started energy saving retrofits in the portfolio and continued to pilot the use of </w:t>
      </w:r>
      <w:r w:rsidR="00564088">
        <w:t xml:space="preserve">the </w:t>
      </w:r>
      <w:r>
        <w:t>Green Star Performance rating tool.</w:t>
      </w:r>
    </w:p>
    <w:p w14:paraId="60B56B9B" w14:textId="18E4DC6F" w:rsidR="002B66F6" w:rsidRDefault="003866B4" w:rsidP="00792F33">
      <w:pPr>
        <w:pStyle w:val="Heading3"/>
      </w:pPr>
      <w:r w:rsidRPr="003866B4">
        <w:t xml:space="preserve">Our </w:t>
      </w:r>
      <w:r w:rsidR="00C42DD0">
        <w:t>P</w:t>
      </w:r>
      <w:r w:rsidRPr="003866B4">
        <w:t>erformance</w:t>
      </w:r>
    </w:p>
    <w:p w14:paraId="0268481F" w14:textId="07B22D2E" w:rsidR="00D91108" w:rsidRPr="00D91108" w:rsidRDefault="00D91108" w:rsidP="00CF0A4C"/>
    <w:tbl>
      <w:tblPr>
        <w:tblStyle w:val="ListTable3"/>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0"/>
        <w:gridCol w:w="3409"/>
        <w:gridCol w:w="3409"/>
      </w:tblGrid>
      <w:tr w:rsidR="00595553" w:rsidRPr="00084C7E" w14:paraId="7797B299" w14:textId="77777777" w:rsidTr="000427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dxa"/>
          </w:tcPr>
          <w:p w14:paraId="7E2100FA" w14:textId="77777777" w:rsidR="00595553" w:rsidRPr="00084C7E" w:rsidRDefault="00595553" w:rsidP="00CF0A4C">
            <w:r w:rsidRPr="008628D6">
              <w:t>Performance Indicator</w:t>
            </w:r>
          </w:p>
        </w:tc>
        <w:tc>
          <w:tcPr>
            <w:tcW w:w="0" w:type="dxa"/>
          </w:tcPr>
          <w:p w14:paraId="532F60FE" w14:textId="77777777" w:rsidR="00595553" w:rsidRPr="00084C7E" w:rsidRDefault="00595553" w:rsidP="00CF0A4C">
            <w:pPr>
              <w:cnfStyle w:val="100000000000" w:firstRow="1" w:lastRow="0" w:firstColumn="0" w:lastColumn="0" w:oddVBand="0" w:evenVBand="0" w:oddHBand="0" w:evenHBand="0" w:firstRowFirstColumn="0" w:firstRowLastColumn="0" w:lastRowFirstColumn="0" w:lastRowLastColumn="0"/>
            </w:pPr>
            <w:r w:rsidRPr="00084C7E">
              <w:t>Measure</w:t>
            </w:r>
          </w:p>
        </w:tc>
        <w:tc>
          <w:tcPr>
            <w:tcW w:w="0" w:type="dxa"/>
          </w:tcPr>
          <w:p w14:paraId="5BA8D8F2" w14:textId="77777777" w:rsidR="00595553" w:rsidRPr="008628D6" w:rsidRDefault="00595553" w:rsidP="00CF0A4C">
            <w:pPr>
              <w:cnfStyle w:val="100000000000" w:firstRow="1" w:lastRow="0" w:firstColumn="0" w:lastColumn="0" w:oddVBand="0" w:evenVBand="0" w:oddHBand="0" w:evenHBand="0" w:firstRowFirstColumn="0" w:firstRowLastColumn="0" w:lastRowFirstColumn="0" w:lastRowLastColumn="0"/>
            </w:pPr>
            <w:r w:rsidRPr="008628D6">
              <w:t>Result</w:t>
            </w:r>
          </w:p>
        </w:tc>
      </w:tr>
      <w:tr w:rsidR="006F61C2" w:rsidRPr="00954A3A" w14:paraId="5720875E" w14:textId="77777777" w:rsidTr="00542A48">
        <w:trPr>
          <w:cnfStyle w:val="000000100000" w:firstRow="0" w:lastRow="0" w:firstColumn="0" w:lastColumn="0" w:oddVBand="0" w:evenVBand="0" w:oddHBand="1" w:evenHBand="0" w:firstRowFirstColumn="0" w:firstRowLastColumn="0" w:lastRowFirstColumn="0" w:lastRowLastColumn="0"/>
          <w:trHeight w:val="1270"/>
        </w:trPr>
        <w:tc>
          <w:tcPr>
            <w:cnfStyle w:val="001000000000" w:firstRow="0" w:lastRow="0" w:firstColumn="1" w:lastColumn="0" w:oddVBand="0" w:evenVBand="0" w:oddHBand="0" w:evenHBand="0" w:firstRowFirstColumn="0" w:firstRowLastColumn="0" w:lastRowFirstColumn="0" w:lastRowLastColumn="0"/>
            <w:tcW w:w="0" w:type="dxa"/>
          </w:tcPr>
          <w:p w14:paraId="11AB8CFF" w14:textId="43A304D5" w:rsidR="006F61C2" w:rsidRPr="00954A3A" w:rsidRDefault="006F61C2" w:rsidP="00CF0A4C">
            <w:pPr>
              <w:rPr>
                <w:b w:val="0"/>
                <w:bCs w:val="0"/>
              </w:rPr>
            </w:pPr>
            <w:r w:rsidRPr="00595553">
              <w:t>Policy reforms for safer and fairer industries</w:t>
            </w:r>
          </w:p>
        </w:tc>
        <w:tc>
          <w:tcPr>
            <w:tcW w:w="0" w:type="dxa"/>
            <w:shd w:val="clear" w:color="auto" w:fill="FFFFFF" w:themeFill="background1"/>
          </w:tcPr>
          <w:p w14:paraId="7D4CDE63" w14:textId="0B808BB6" w:rsidR="006F61C2" w:rsidRPr="007B54AB" w:rsidRDefault="00997A9C" w:rsidP="00CF0A4C">
            <w:pPr>
              <w:pStyle w:val="Tableheadings"/>
              <w:cnfStyle w:val="000000100000" w:firstRow="0" w:lastRow="0" w:firstColumn="0" w:lastColumn="0" w:oddVBand="0" w:evenVBand="0" w:oddHBand="1" w:evenHBand="0" w:firstRowFirstColumn="0" w:firstRowLastColumn="0" w:lastRowFirstColumn="0" w:lastRowLastColumn="0"/>
            </w:pPr>
            <w:r w:rsidRPr="00E76446">
              <w:t>Queensland Building Plan developed and implementation in progress</w:t>
            </w:r>
          </w:p>
        </w:tc>
        <w:tc>
          <w:tcPr>
            <w:tcW w:w="0" w:type="dxa"/>
            <w:shd w:val="clear" w:color="auto" w:fill="FFFFFF" w:themeFill="background1"/>
          </w:tcPr>
          <w:p w14:paraId="08FC6E4F" w14:textId="38598480" w:rsidR="006F61C2" w:rsidRPr="007B54AB" w:rsidRDefault="006F61C2" w:rsidP="00CF0A4C">
            <w:pPr>
              <w:pStyle w:val="Tableheadings"/>
              <w:cnfStyle w:val="000000100000" w:firstRow="0" w:lastRow="0" w:firstColumn="0" w:lastColumn="0" w:oddVBand="0" w:evenVBand="0" w:oddHBand="1" w:evenHBand="0" w:firstRowFirstColumn="0" w:firstRowLastColumn="0" w:lastRowFirstColumn="0" w:lastRowLastColumn="0"/>
            </w:pPr>
            <w:r w:rsidRPr="00E76446">
              <w:t>Queensland Building Plan consultation</w:t>
            </w:r>
            <w:r w:rsidR="00997A9C" w:rsidRPr="00E76446">
              <w:t xml:space="preserve"> completed</w:t>
            </w:r>
          </w:p>
        </w:tc>
      </w:tr>
      <w:tr w:rsidR="006F61C2" w:rsidRPr="00954A3A" w14:paraId="6308E87D" w14:textId="77777777" w:rsidTr="00542A48">
        <w:trPr>
          <w:trHeight w:val="1380"/>
        </w:trPr>
        <w:tc>
          <w:tcPr>
            <w:cnfStyle w:val="001000000000" w:firstRow="0" w:lastRow="0" w:firstColumn="1" w:lastColumn="0" w:oddVBand="0" w:evenVBand="0" w:oddHBand="0" w:evenHBand="0" w:firstRowFirstColumn="0" w:firstRowLastColumn="0" w:lastRowFirstColumn="0" w:lastRowLastColumn="0"/>
            <w:tcW w:w="0" w:type="dxa"/>
          </w:tcPr>
          <w:p w14:paraId="4D233AD9" w14:textId="5FFD3432" w:rsidR="006F61C2" w:rsidRPr="00595553" w:rsidRDefault="006F61C2" w:rsidP="00CF0A4C">
            <w:pPr>
              <w:rPr>
                <w:b w:val="0"/>
                <w:bCs w:val="0"/>
              </w:rPr>
            </w:pPr>
            <w:r w:rsidRPr="00595553">
              <w:t>Environmental sustainability in the government asset portfolio</w:t>
            </w:r>
          </w:p>
          <w:p w14:paraId="6520E3C9" w14:textId="39F3C974" w:rsidR="006F61C2" w:rsidRPr="00954A3A" w:rsidRDefault="006F61C2" w:rsidP="00CF0A4C"/>
        </w:tc>
        <w:tc>
          <w:tcPr>
            <w:tcW w:w="0" w:type="dxa"/>
            <w:shd w:val="clear" w:color="auto" w:fill="FFFFFF" w:themeFill="background1"/>
          </w:tcPr>
          <w:p w14:paraId="39CF7DA5" w14:textId="1EE9403B" w:rsidR="006F61C2" w:rsidRPr="007B54AB" w:rsidRDefault="006F61C2" w:rsidP="00CF0A4C">
            <w:pPr>
              <w:cnfStyle w:val="000000000000" w:firstRow="0" w:lastRow="0" w:firstColumn="0" w:lastColumn="0" w:oddVBand="0" w:evenVBand="0" w:oddHBand="0" w:evenHBand="0" w:firstRowFirstColumn="0" w:firstRowLastColumn="0" w:lastRowFirstColumn="0" w:lastRowLastColumn="0"/>
            </w:pPr>
            <w:r w:rsidRPr="00E76446">
              <w:t xml:space="preserve">Measure under development in </w:t>
            </w:r>
            <w:r w:rsidR="000C39C3">
              <w:t>2016–17</w:t>
            </w:r>
          </w:p>
        </w:tc>
        <w:tc>
          <w:tcPr>
            <w:tcW w:w="0" w:type="dxa"/>
            <w:shd w:val="clear" w:color="auto" w:fill="FFFFFF" w:themeFill="background1"/>
          </w:tcPr>
          <w:p w14:paraId="681404CC" w14:textId="78AD8031" w:rsidR="006F61C2" w:rsidRPr="00954A3A" w:rsidRDefault="00C067D6" w:rsidP="00CF0A4C">
            <w:pPr>
              <w:pStyle w:val="Tableheadings"/>
              <w:cnfStyle w:val="000000000000" w:firstRow="0" w:lastRow="0" w:firstColumn="0" w:lastColumn="0" w:oddVBand="0" w:evenVBand="0" w:oddHBand="0" w:evenHBand="0" w:firstRowFirstColumn="0" w:firstRowLastColumn="0" w:lastRowFirstColumn="0" w:lastRowLastColumn="0"/>
            </w:pPr>
            <w:r>
              <w:t xml:space="preserve">New energy </w:t>
            </w:r>
            <w:r w:rsidR="00A92CA0">
              <w:t>service standard</w:t>
            </w:r>
            <w:r>
              <w:t xml:space="preserve"> </w:t>
            </w:r>
            <w:r w:rsidR="00BC3830">
              <w:t xml:space="preserve">for government accommodation </w:t>
            </w:r>
            <w:r>
              <w:t xml:space="preserve">developed for introduction in </w:t>
            </w:r>
            <w:r w:rsidR="000C39C3">
              <w:t>2017–18</w:t>
            </w:r>
          </w:p>
        </w:tc>
      </w:tr>
    </w:tbl>
    <w:p w14:paraId="3B8F14D2" w14:textId="77777777" w:rsidR="006F61C2" w:rsidRDefault="006F61C2" w:rsidP="00CF0A4C">
      <w:r>
        <w:br w:type="page"/>
      </w:r>
    </w:p>
    <w:p w14:paraId="3AE7BB23" w14:textId="3E436BE5" w:rsidR="006D0CE3" w:rsidRPr="00673F11" w:rsidRDefault="006D0CE3" w:rsidP="005D3ADE">
      <w:pPr>
        <w:pStyle w:val="Heading1"/>
      </w:pPr>
      <w:bookmarkStart w:id="23" w:name="_Toc494984622"/>
      <w:r w:rsidRPr="00673F11">
        <w:lastRenderedPageBreak/>
        <w:t xml:space="preserve">Objective </w:t>
      </w:r>
      <w:r w:rsidR="0005773D" w:rsidRPr="00673F11">
        <w:t>3</w:t>
      </w:r>
      <w:r w:rsidRPr="00673F11">
        <w:t xml:space="preserve">: </w:t>
      </w:r>
      <w:r w:rsidR="00663EB7" w:rsidRPr="00673F11">
        <w:t>Value for Queensland</w:t>
      </w:r>
      <w:bookmarkEnd w:id="23"/>
    </w:p>
    <w:p w14:paraId="0448BDD9" w14:textId="119A273D" w:rsidR="00663EB7" w:rsidRPr="00AF428A" w:rsidRDefault="00663EB7" w:rsidP="00792F33">
      <w:pPr>
        <w:pStyle w:val="Heading3"/>
      </w:pPr>
      <w:r w:rsidRPr="00040E2E">
        <w:t>Greater value and support for employment and economic opportunities</w:t>
      </w:r>
    </w:p>
    <w:p w14:paraId="52919AF6" w14:textId="76C00954" w:rsidR="00D75EFE" w:rsidRPr="00912E38" w:rsidRDefault="002B4FF5" w:rsidP="00CF0A4C">
      <w:pPr>
        <w:rPr>
          <w:b/>
        </w:rPr>
      </w:pPr>
      <w:r w:rsidRPr="00912E38">
        <w:rPr>
          <w:b/>
        </w:rPr>
        <w:t>To l</w:t>
      </w:r>
      <w:r w:rsidR="00D75EFE" w:rsidRPr="00912E38">
        <w:rPr>
          <w:b/>
        </w:rPr>
        <w:t>ink with industry, business and government sectors to drive strategic and innovative procurement</w:t>
      </w:r>
      <w:r w:rsidR="0067592F" w:rsidRPr="00912E38">
        <w:rPr>
          <w:b/>
        </w:rPr>
        <w:t>,</w:t>
      </w:r>
      <w:r w:rsidRPr="00912E38">
        <w:rPr>
          <w:b/>
        </w:rPr>
        <w:t xml:space="preserve"> we:</w:t>
      </w:r>
    </w:p>
    <w:p w14:paraId="2D1BF065" w14:textId="445D4759" w:rsidR="00D75EFE" w:rsidRPr="00D75EFE" w:rsidRDefault="004F5985" w:rsidP="00096C6C">
      <w:pPr>
        <w:pStyle w:val="Bullets"/>
      </w:pPr>
      <w:r w:rsidRPr="008D2C64">
        <w:t>e</w:t>
      </w:r>
      <w:r w:rsidR="00D75EFE" w:rsidRPr="008D2C64">
        <w:t>stablished</w:t>
      </w:r>
      <w:r w:rsidR="00D75EFE" w:rsidRPr="00D75EFE">
        <w:t xml:space="preserve"> the Office of the Chief Advisor – Procurement to provide advice and drive</w:t>
      </w:r>
      <w:r w:rsidR="003365EB" w:rsidRPr="690957E2">
        <w:t xml:space="preserve"> </w:t>
      </w:r>
      <w:r w:rsidR="00D75EFE" w:rsidRPr="00D75EFE">
        <w:t>outcomes across the public sector</w:t>
      </w:r>
    </w:p>
    <w:p w14:paraId="23E21036" w14:textId="498708F5" w:rsidR="00D75EFE" w:rsidRPr="00D75EFE" w:rsidRDefault="004F5985" w:rsidP="00096C6C">
      <w:pPr>
        <w:pStyle w:val="Bullets"/>
      </w:pPr>
      <w:r>
        <w:t>i</w:t>
      </w:r>
      <w:r w:rsidR="00D75EFE" w:rsidRPr="00D75EFE">
        <w:t>mplemented new governance arrangements through the Queensland Government Procurement Committee and the Procurement Industry Advisory Group</w:t>
      </w:r>
    </w:p>
    <w:p w14:paraId="195FCEC2" w14:textId="032AD751" w:rsidR="00055E56" w:rsidRPr="00D75EFE" w:rsidRDefault="009937EB" w:rsidP="00096C6C">
      <w:pPr>
        <w:pStyle w:val="Bullets"/>
      </w:pPr>
      <w:r>
        <w:t>p</w:t>
      </w:r>
      <w:r w:rsidR="00D75EFE" w:rsidRPr="00D75EFE">
        <w:t>rogressed drafting the Queensland Government Procurement Strategy to better engage and work with industry and business</w:t>
      </w:r>
      <w:r w:rsidR="003365EB" w:rsidRPr="690957E2">
        <w:t>.</w:t>
      </w:r>
    </w:p>
    <w:p w14:paraId="3206B9D4" w14:textId="5EC5D2FE" w:rsidR="00D75EFE" w:rsidRPr="00912E38" w:rsidRDefault="00433CDF" w:rsidP="00CF0A4C">
      <w:pPr>
        <w:rPr>
          <w:b/>
        </w:rPr>
      </w:pPr>
      <w:r w:rsidRPr="00912E38">
        <w:rPr>
          <w:b/>
        </w:rPr>
        <w:t>To</w:t>
      </w:r>
      <w:r w:rsidR="002B4FF5" w:rsidRPr="00912E38">
        <w:rPr>
          <w:b/>
        </w:rPr>
        <w:t xml:space="preserve"> g</w:t>
      </w:r>
      <w:r w:rsidR="00D75EFE" w:rsidRPr="00912E38">
        <w:rPr>
          <w:b/>
        </w:rPr>
        <w:t>enerat</w:t>
      </w:r>
      <w:r w:rsidR="004F5985" w:rsidRPr="00912E38">
        <w:rPr>
          <w:b/>
        </w:rPr>
        <w:t>e</w:t>
      </w:r>
      <w:r w:rsidR="00EE1CD9" w:rsidRPr="00912E38">
        <w:rPr>
          <w:b/>
        </w:rPr>
        <w:t xml:space="preserve"> </w:t>
      </w:r>
      <w:r w:rsidR="00D75EFE" w:rsidRPr="00912E38">
        <w:rPr>
          <w:b/>
        </w:rPr>
        <w:t>new ideas and solutions through partnerships and collaborations</w:t>
      </w:r>
      <w:r w:rsidR="0067592F" w:rsidRPr="00912E38">
        <w:rPr>
          <w:b/>
        </w:rPr>
        <w:t>,</w:t>
      </w:r>
      <w:r w:rsidR="002B4FF5" w:rsidRPr="00912E38">
        <w:rPr>
          <w:b/>
        </w:rPr>
        <w:t xml:space="preserve"> </w:t>
      </w:r>
      <w:r w:rsidR="00EE1CD9" w:rsidRPr="00912E38">
        <w:rPr>
          <w:b/>
        </w:rPr>
        <w:t>we</w:t>
      </w:r>
      <w:r w:rsidR="002B4FF5" w:rsidRPr="00912E38">
        <w:rPr>
          <w:b/>
        </w:rPr>
        <w:t>:</w:t>
      </w:r>
    </w:p>
    <w:p w14:paraId="71CBED9C" w14:textId="0FC853AF" w:rsidR="00D75EFE" w:rsidRPr="0067592F" w:rsidRDefault="004F5985" w:rsidP="00096C6C">
      <w:pPr>
        <w:pStyle w:val="Bullets"/>
      </w:pPr>
      <w:r w:rsidRPr="004B0283">
        <w:t>o</w:t>
      </w:r>
      <w:r w:rsidR="00D75EFE" w:rsidRPr="004B0283">
        <w:t>vers</w:t>
      </w:r>
      <w:r w:rsidR="00EE1CD9" w:rsidRPr="004B0283">
        <w:t>aw</w:t>
      </w:r>
      <w:r w:rsidR="00D75EFE" w:rsidRPr="004B0283">
        <w:t xml:space="preserve"> the establishment of six Category Councils across </w:t>
      </w:r>
      <w:r w:rsidR="00BE0A49">
        <w:t>g</w:t>
      </w:r>
      <w:r w:rsidR="00D75EFE" w:rsidRPr="004B0283">
        <w:t xml:space="preserve">overnment </w:t>
      </w:r>
      <w:r w:rsidR="005D6996">
        <w:t>and led</w:t>
      </w:r>
      <w:r w:rsidR="00D75EFE" w:rsidRPr="004B0283">
        <w:t xml:space="preserve"> the Building Construction and Maintenance and General Goods and Services categories </w:t>
      </w:r>
    </w:p>
    <w:p w14:paraId="37676040" w14:textId="41B1B7C3" w:rsidR="00D75EFE" w:rsidRPr="00D75EFE" w:rsidRDefault="004F5985" w:rsidP="00096C6C">
      <w:pPr>
        <w:pStyle w:val="Bullets"/>
      </w:pPr>
      <w:r>
        <w:t>p</w:t>
      </w:r>
      <w:r w:rsidR="00EE1CD9">
        <w:t>artnered</w:t>
      </w:r>
      <w:r w:rsidR="00D75EFE" w:rsidRPr="00D75EFE">
        <w:t xml:space="preserve"> with Aboriginal and Torres Strait Islander Councils to deliver maintenance services and build capability in these communities </w:t>
      </w:r>
      <w:r w:rsidR="002E7127">
        <w:t>to</w:t>
      </w:r>
      <w:r w:rsidR="002E7127" w:rsidRPr="690957E2">
        <w:t xml:space="preserve"> </w:t>
      </w:r>
      <w:r w:rsidR="00D75EFE" w:rsidRPr="00D75EFE">
        <w:t>suppor</w:t>
      </w:r>
      <w:r w:rsidR="002E7127">
        <w:t>t</w:t>
      </w:r>
      <w:r w:rsidR="00D75EFE" w:rsidRPr="00D75EFE">
        <w:t xml:space="preserve"> local employment and business development</w:t>
      </w:r>
    </w:p>
    <w:p w14:paraId="054BFBD0" w14:textId="650D644C" w:rsidR="00055E56" w:rsidRPr="00D75EFE" w:rsidRDefault="004F5985" w:rsidP="00096C6C">
      <w:pPr>
        <w:pStyle w:val="Bullets"/>
      </w:pPr>
      <w:r>
        <w:t>implement</w:t>
      </w:r>
      <w:r w:rsidR="00EE1CD9">
        <w:t>ed</w:t>
      </w:r>
      <w:r w:rsidR="00D75EFE" w:rsidRPr="00D75EFE">
        <w:t xml:space="preserve"> a new sourcing process for General Goods and Services to identify opportunities for local small and medium sized businesses, Aboriginal and Torres Strait Islander businesses, and social enterprises to participate in whole-of-government supply arrangements</w:t>
      </w:r>
      <w:r w:rsidR="00055E56" w:rsidRPr="690957E2">
        <w:t>.</w:t>
      </w:r>
    </w:p>
    <w:p w14:paraId="77267547" w14:textId="13178BA4" w:rsidR="002B4FF5" w:rsidRPr="00912E38" w:rsidRDefault="00EE1CD9" w:rsidP="00CF0A4C">
      <w:pPr>
        <w:rPr>
          <w:b/>
        </w:rPr>
      </w:pPr>
      <w:r w:rsidRPr="00912E38">
        <w:rPr>
          <w:b/>
        </w:rPr>
        <w:t>To</w:t>
      </w:r>
      <w:r w:rsidR="002B4FF5" w:rsidRPr="00912E38">
        <w:rPr>
          <w:b/>
        </w:rPr>
        <w:t xml:space="preserve"> u</w:t>
      </w:r>
      <w:r w:rsidR="00D75EFE" w:rsidRPr="00912E38">
        <w:rPr>
          <w:b/>
        </w:rPr>
        <w:t>se our resources and assets more efficiently and responsibly to deliver services through forward planning, smarter practices and leveraging of government resources</w:t>
      </w:r>
      <w:r w:rsidR="003365EB" w:rsidRPr="00912E38">
        <w:rPr>
          <w:b/>
        </w:rPr>
        <w:t>,</w:t>
      </w:r>
      <w:r w:rsidR="002B4FF5" w:rsidRPr="00912E38">
        <w:rPr>
          <w:b/>
        </w:rPr>
        <w:t xml:space="preserve"> </w:t>
      </w:r>
      <w:r w:rsidRPr="00912E38">
        <w:rPr>
          <w:b/>
        </w:rPr>
        <w:t>we</w:t>
      </w:r>
      <w:r w:rsidR="002B4FF5" w:rsidRPr="00912E38">
        <w:rPr>
          <w:b/>
        </w:rPr>
        <w:t>:</w:t>
      </w:r>
    </w:p>
    <w:p w14:paraId="3A86653C" w14:textId="7A249859" w:rsidR="003365EB" w:rsidRPr="00D75EFE" w:rsidRDefault="003365EB" w:rsidP="00096C6C">
      <w:pPr>
        <w:pStyle w:val="Bullets"/>
      </w:pPr>
      <w:r>
        <w:t>p</w:t>
      </w:r>
      <w:r w:rsidRPr="00D75EFE">
        <w:t>ublished forward procurement pipelines to make planned procurements more visible, encourage small business to supply to government, and give greater certainty to industry</w:t>
      </w:r>
    </w:p>
    <w:p w14:paraId="52448694" w14:textId="7B767A89" w:rsidR="00D75EFE" w:rsidRDefault="002B4FF5" w:rsidP="00096C6C">
      <w:pPr>
        <w:pStyle w:val="Bullets"/>
      </w:pPr>
      <w:r>
        <w:t>e</w:t>
      </w:r>
      <w:r w:rsidR="00D75EFE" w:rsidRPr="00D75EFE">
        <w:t>stablish</w:t>
      </w:r>
      <w:r w:rsidR="00EE1CD9">
        <w:t>ed</w:t>
      </w:r>
      <w:r w:rsidR="00D75EFE" w:rsidRPr="00D75EFE">
        <w:t xml:space="preserve"> a whole-of-government panel arrangement for in-vehicle monitoring systems and fleet optimisation services to enable more efficient and cost-effective use of agency vehicles</w:t>
      </w:r>
      <w:r w:rsidR="00055E56" w:rsidRPr="690957E2">
        <w:t>.</w:t>
      </w:r>
    </w:p>
    <w:p w14:paraId="137469D7" w14:textId="44CF9F7E" w:rsidR="00DC7C53" w:rsidRPr="00B16A15" w:rsidRDefault="00E94801" w:rsidP="00DC4782">
      <w:pPr>
        <w:pStyle w:val="Bullets"/>
        <w:numPr>
          <w:ilvl w:val="0"/>
          <w:numId w:val="6"/>
        </w:numPr>
      </w:pPr>
      <w:r>
        <w:t xml:space="preserve">as part </w:t>
      </w:r>
      <w:r w:rsidR="00DC7C53" w:rsidRPr="00B16A15">
        <w:t xml:space="preserve">of the </w:t>
      </w:r>
      <w:r w:rsidR="00DC7C53" w:rsidRPr="007B64A6">
        <w:rPr>
          <w:i/>
        </w:rPr>
        <w:t xml:space="preserve">Brisbane CBD and Fringe Area Government </w:t>
      </w:r>
      <w:r w:rsidR="00DC7C53" w:rsidRPr="00AF428A">
        <w:rPr>
          <w:i/>
        </w:rPr>
        <w:t>Office Accommodation Strategy 2015</w:t>
      </w:r>
      <w:r w:rsidR="00DC7C53" w:rsidRPr="00F86B5E">
        <w:rPr>
          <w:i/>
        </w:rPr>
        <w:t>–</w:t>
      </w:r>
      <w:r w:rsidR="00DC7C53" w:rsidRPr="00B43ED2">
        <w:rPr>
          <w:i/>
        </w:rPr>
        <w:t>25</w:t>
      </w:r>
      <w:r>
        <w:rPr>
          <w:i/>
        </w:rPr>
        <w:t>,</w:t>
      </w:r>
      <w:r w:rsidR="007F2F31">
        <w:t xml:space="preserve"> </w:t>
      </w:r>
      <w:r w:rsidR="00D70C86">
        <w:t>vacat</w:t>
      </w:r>
      <w:r>
        <w:t>ed</w:t>
      </w:r>
      <w:r w:rsidR="00D70C86" w:rsidRPr="00B16A15">
        <w:t xml:space="preserve"> the Queens Wharf Brisbane precinct </w:t>
      </w:r>
      <w:r w:rsidR="00D70C86">
        <w:t xml:space="preserve">and </w:t>
      </w:r>
      <w:r w:rsidR="007F2F31">
        <w:t>mov</w:t>
      </w:r>
      <w:r>
        <w:t xml:space="preserve">ed thousands </w:t>
      </w:r>
      <w:r w:rsidRPr="0004270E">
        <w:t xml:space="preserve">of </w:t>
      </w:r>
      <w:r w:rsidR="00DC7C53" w:rsidRPr="0004270E">
        <w:t>public servants across the</w:t>
      </w:r>
      <w:r w:rsidR="00DC7C53" w:rsidRPr="00B16A15">
        <w:t xml:space="preserve"> Brisbane CBD and </w:t>
      </w:r>
      <w:r>
        <w:t>f</w:t>
      </w:r>
      <w:r w:rsidR="00DC7C53" w:rsidRPr="00B16A15">
        <w:t xml:space="preserve">ringe </w:t>
      </w:r>
      <w:r>
        <w:t>a</w:t>
      </w:r>
      <w:r w:rsidR="00DC7C53" w:rsidRPr="00B16A15">
        <w:t>reas</w:t>
      </w:r>
      <w:r>
        <w:t>.</w:t>
      </w:r>
    </w:p>
    <w:p w14:paraId="73C649FA" w14:textId="4269C334" w:rsidR="00B737A9" w:rsidRPr="00C4518D" w:rsidRDefault="00B737A9" w:rsidP="00096C6C">
      <w:pPr>
        <w:pStyle w:val="Bullets"/>
        <w:numPr>
          <w:ilvl w:val="0"/>
          <w:numId w:val="0"/>
        </w:numPr>
        <w:rPr>
          <w:highlight w:val="yellow"/>
        </w:rPr>
      </w:pPr>
    </w:p>
    <w:p w14:paraId="5C8924CE" w14:textId="6C266EE0" w:rsidR="00D91108" w:rsidRPr="008D0713" w:rsidRDefault="006D0CE3" w:rsidP="00792F33">
      <w:pPr>
        <w:pStyle w:val="Heading3"/>
      </w:pPr>
      <w:r w:rsidRPr="003A380B">
        <w:t xml:space="preserve">Our </w:t>
      </w:r>
      <w:r w:rsidR="008C569E">
        <w:t>P</w:t>
      </w:r>
      <w:r w:rsidRPr="003A380B">
        <w:t>erformance</w:t>
      </w:r>
      <w:r w:rsidR="00816F93">
        <w:t xml:space="preserve"> </w:t>
      </w:r>
    </w:p>
    <w:tbl>
      <w:tblPr>
        <w:tblStyle w:val="ListTable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3703"/>
        <w:gridCol w:w="3047"/>
      </w:tblGrid>
      <w:tr w:rsidR="00C66565" w:rsidRPr="00084C7E" w14:paraId="67FBCD47" w14:textId="77777777" w:rsidTr="000427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51" w:type="dxa"/>
          </w:tcPr>
          <w:p w14:paraId="034BD29D" w14:textId="28FEBC0A" w:rsidR="00C66565" w:rsidRPr="00084C7E" w:rsidRDefault="00C66565" w:rsidP="00CF0A4C">
            <w:r w:rsidRPr="008628D6">
              <w:t>Performance Indicator</w:t>
            </w:r>
          </w:p>
        </w:tc>
        <w:tc>
          <w:tcPr>
            <w:tcW w:w="3703" w:type="dxa"/>
          </w:tcPr>
          <w:p w14:paraId="0EDB88EF" w14:textId="77777777" w:rsidR="00C66565" w:rsidRPr="00084C7E" w:rsidRDefault="00C66565" w:rsidP="00CF0A4C">
            <w:pPr>
              <w:cnfStyle w:val="100000000000" w:firstRow="1" w:lastRow="0" w:firstColumn="0" w:lastColumn="0" w:oddVBand="0" w:evenVBand="0" w:oddHBand="0" w:evenHBand="0" w:firstRowFirstColumn="0" w:firstRowLastColumn="0" w:lastRowFirstColumn="0" w:lastRowLastColumn="0"/>
            </w:pPr>
            <w:r w:rsidRPr="00084C7E">
              <w:t>Measure</w:t>
            </w:r>
          </w:p>
        </w:tc>
        <w:tc>
          <w:tcPr>
            <w:tcW w:w="3047" w:type="dxa"/>
          </w:tcPr>
          <w:p w14:paraId="1720FFA3" w14:textId="77777777" w:rsidR="00C66565" w:rsidRPr="008628D6" w:rsidRDefault="00C66565" w:rsidP="00CF0A4C">
            <w:pPr>
              <w:cnfStyle w:val="100000000000" w:firstRow="1" w:lastRow="0" w:firstColumn="0" w:lastColumn="0" w:oddVBand="0" w:evenVBand="0" w:oddHBand="0" w:evenHBand="0" w:firstRowFirstColumn="0" w:firstRowLastColumn="0" w:lastRowFirstColumn="0" w:lastRowLastColumn="0"/>
            </w:pPr>
            <w:r w:rsidRPr="008628D6">
              <w:t>Result</w:t>
            </w:r>
          </w:p>
        </w:tc>
      </w:tr>
      <w:tr w:rsidR="004C56D9" w:rsidRPr="00954A3A" w14:paraId="07A6F870" w14:textId="77777777" w:rsidTr="00912E38">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451" w:type="dxa"/>
          </w:tcPr>
          <w:p w14:paraId="41FF1E6B" w14:textId="45636F2D" w:rsidR="004C56D9" w:rsidRPr="00954A3A" w:rsidRDefault="004C56D9" w:rsidP="00CF0A4C">
            <w:pPr>
              <w:rPr>
                <w:b w:val="0"/>
                <w:bCs w:val="0"/>
              </w:rPr>
            </w:pPr>
            <w:r w:rsidRPr="00C66565">
              <w:t>Smarter and more efficient use of resources</w:t>
            </w:r>
          </w:p>
        </w:tc>
        <w:tc>
          <w:tcPr>
            <w:tcW w:w="3703" w:type="dxa"/>
            <w:shd w:val="clear" w:color="auto" w:fill="FFFFFF" w:themeFill="background1"/>
          </w:tcPr>
          <w:p w14:paraId="733ED1D9" w14:textId="1FB2BCFB" w:rsidR="004C56D9" w:rsidRPr="00EC456C" w:rsidRDefault="004C56D9" w:rsidP="00CF0A4C">
            <w:pPr>
              <w:cnfStyle w:val="000000100000" w:firstRow="0" w:lastRow="0" w:firstColumn="0" w:lastColumn="0" w:oddVBand="0" w:evenVBand="0" w:oddHBand="1" w:evenHBand="0" w:firstRowFirstColumn="0" w:firstRowLastColumn="0" w:lastRowFirstColumn="0" w:lastRowLastColumn="0"/>
            </w:pPr>
            <w:r w:rsidRPr="00E76446">
              <w:t xml:space="preserve">Work point density – new fitout Office Accommodation </w:t>
            </w:r>
          </w:p>
        </w:tc>
        <w:tc>
          <w:tcPr>
            <w:tcW w:w="3047" w:type="dxa"/>
            <w:shd w:val="clear" w:color="auto" w:fill="FFFFFF" w:themeFill="background1"/>
          </w:tcPr>
          <w:p w14:paraId="4C057003" w14:textId="7BDE66A8" w:rsidR="004C56D9" w:rsidRPr="00EC456C" w:rsidRDefault="004C56D9" w:rsidP="00CF0A4C">
            <w:pPr>
              <w:pStyle w:val="Tableheadings"/>
              <w:cnfStyle w:val="000000100000" w:firstRow="0" w:lastRow="0" w:firstColumn="0" w:lastColumn="0" w:oddVBand="0" w:evenVBand="0" w:oddHBand="1" w:evenHBand="0" w:firstRowFirstColumn="0" w:firstRowLastColumn="0" w:lastRowFirstColumn="0" w:lastRowLastColumn="0"/>
              <w:rPr>
                <w:color w:val="000000" w:themeColor="text1"/>
              </w:rPr>
            </w:pPr>
            <w:r w:rsidRPr="00EC456C">
              <w:t>12.6</w:t>
            </w:r>
          </w:p>
        </w:tc>
      </w:tr>
      <w:tr w:rsidR="004C56D9" w:rsidRPr="00954A3A" w14:paraId="35EA9977" w14:textId="77777777" w:rsidTr="00912E38">
        <w:trPr>
          <w:trHeight w:val="425"/>
        </w:trPr>
        <w:tc>
          <w:tcPr>
            <w:cnfStyle w:val="001000000000" w:firstRow="0" w:lastRow="0" w:firstColumn="1" w:lastColumn="0" w:oddVBand="0" w:evenVBand="0" w:oddHBand="0" w:evenHBand="0" w:firstRowFirstColumn="0" w:firstRowLastColumn="0" w:lastRowFirstColumn="0" w:lastRowLastColumn="0"/>
            <w:tcW w:w="3451" w:type="dxa"/>
          </w:tcPr>
          <w:p w14:paraId="142B6F03" w14:textId="0A0027D8" w:rsidR="004C56D9" w:rsidRPr="00C66565" w:rsidRDefault="00AE3231" w:rsidP="00CF0A4C">
            <w:r w:rsidRPr="00C66565">
              <w:t>Smarter and more efficient use of resources</w:t>
            </w:r>
          </w:p>
        </w:tc>
        <w:tc>
          <w:tcPr>
            <w:tcW w:w="3703" w:type="dxa"/>
            <w:tcBorders>
              <w:top w:val="single" w:sz="4" w:space="0" w:color="000000" w:themeColor="text1"/>
              <w:bottom w:val="single" w:sz="4" w:space="0" w:color="000000" w:themeColor="text1"/>
            </w:tcBorders>
            <w:shd w:val="clear" w:color="auto" w:fill="FFFFFF" w:themeFill="background1"/>
          </w:tcPr>
          <w:p w14:paraId="614E8ADF" w14:textId="530E45C5" w:rsidR="004C56D9" w:rsidRPr="00EC456C" w:rsidRDefault="004C56D9" w:rsidP="00CF0A4C">
            <w:pPr>
              <w:cnfStyle w:val="000000000000" w:firstRow="0" w:lastRow="0" w:firstColumn="0" w:lastColumn="0" w:oddVBand="0" w:evenVBand="0" w:oddHBand="0" w:evenHBand="0" w:firstRowFirstColumn="0" w:firstRowLastColumn="0" w:lastRowFirstColumn="0" w:lastRowLastColumn="0"/>
            </w:pPr>
            <w:r w:rsidRPr="00E76446">
              <w:t xml:space="preserve">Percentage of vehicle fleet utilisation compared to agreed lease parameters </w:t>
            </w:r>
          </w:p>
        </w:tc>
        <w:tc>
          <w:tcPr>
            <w:tcW w:w="3047" w:type="dxa"/>
            <w:shd w:val="clear" w:color="auto" w:fill="FFFFFF" w:themeFill="background1"/>
          </w:tcPr>
          <w:p w14:paraId="1D32837A" w14:textId="65585B04" w:rsidR="004C56D9" w:rsidRPr="00EC456C" w:rsidRDefault="004C56D9" w:rsidP="00CF0A4C">
            <w:pPr>
              <w:pStyle w:val="Tableheadings"/>
              <w:cnfStyle w:val="000000000000" w:firstRow="0" w:lastRow="0" w:firstColumn="0" w:lastColumn="0" w:oddVBand="0" w:evenVBand="0" w:oddHBand="0" w:evenHBand="0" w:firstRowFirstColumn="0" w:firstRowLastColumn="0" w:lastRowFirstColumn="0" w:lastRowLastColumn="0"/>
              <w:rPr>
                <w:color w:val="000000" w:themeColor="text1"/>
              </w:rPr>
            </w:pPr>
            <w:r w:rsidRPr="00EC456C">
              <w:t>87.7%</w:t>
            </w:r>
          </w:p>
        </w:tc>
      </w:tr>
      <w:tr w:rsidR="004C56D9" w:rsidRPr="00954A3A" w14:paraId="747F36F4" w14:textId="77777777" w:rsidTr="00912E3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451" w:type="dxa"/>
          </w:tcPr>
          <w:p w14:paraId="1D9CC713" w14:textId="767F85A1" w:rsidR="004C56D9" w:rsidRPr="005436CC" w:rsidRDefault="004C56D9" w:rsidP="00CF0A4C">
            <w:r w:rsidRPr="00C66565">
              <w:t>Procurement practice reforms</w:t>
            </w:r>
          </w:p>
        </w:tc>
        <w:tc>
          <w:tcPr>
            <w:tcW w:w="3703" w:type="dxa"/>
            <w:shd w:val="clear" w:color="auto" w:fill="FFFFFF" w:themeFill="background1"/>
          </w:tcPr>
          <w:p w14:paraId="4C515015" w14:textId="647C817D" w:rsidR="004C56D9" w:rsidRPr="00EC456C" w:rsidRDefault="004C56D9" w:rsidP="00CF0A4C">
            <w:pPr>
              <w:cnfStyle w:val="000000100000" w:firstRow="0" w:lastRow="0" w:firstColumn="0" w:lastColumn="0" w:oddVBand="0" w:evenVBand="0" w:oddHBand="1" w:evenHBand="0" w:firstRowFirstColumn="0" w:firstRowLastColumn="0" w:lastRowFirstColumn="0" w:lastRowLastColumn="0"/>
            </w:pPr>
            <w:r w:rsidRPr="00E76446">
              <w:t xml:space="preserve">Progress of </w:t>
            </w:r>
            <w:r w:rsidR="002632BA">
              <w:t>g</w:t>
            </w:r>
            <w:r w:rsidRPr="00E76446">
              <w:t xml:space="preserve">overnment procurement reform program implementation </w:t>
            </w:r>
          </w:p>
        </w:tc>
        <w:tc>
          <w:tcPr>
            <w:tcW w:w="3047" w:type="dxa"/>
            <w:shd w:val="clear" w:color="auto" w:fill="FFFFFF" w:themeFill="background1"/>
          </w:tcPr>
          <w:p w14:paraId="667A14DC" w14:textId="50586E25" w:rsidR="004C56D9" w:rsidRPr="00B66C36" w:rsidRDefault="000B2760" w:rsidP="00CF0A4C">
            <w:pPr>
              <w:pStyle w:val="Tableheadings"/>
              <w:cnfStyle w:val="000000100000" w:firstRow="0" w:lastRow="0" w:firstColumn="0" w:lastColumn="0" w:oddVBand="0" w:evenVBand="0" w:oddHBand="1" w:evenHBand="0" w:firstRowFirstColumn="0" w:firstRowLastColumn="0" w:lastRowFirstColumn="0" w:lastRowLastColumn="0"/>
            </w:pPr>
            <w:r>
              <w:t xml:space="preserve">Procurement reforms progressed </w:t>
            </w:r>
            <w:r w:rsidR="00BA3E1F">
              <w:t>as programmed</w:t>
            </w:r>
            <w:r>
              <w:t xml:space="preserve"> </w:t>
            </w:r>
          </w:p>
        </w:tc>
      </w:tr>
      <w:tr w:rsidR="004C56D9" w:rsidRPr="00954A3A" w14:paraId="00E922B9" w14:textId="77777777" w:rsidTr="00912E38">
        <w:trPr>
          <w:trHeight w:val="1020"/>
        </w:trPr>
        <w:tc>
          <w:tcPr>
            <w:cnfStyle w:val="001000000000" w:firstRow="0" w:lastRow="0" w:firstColumn="1" w:lastColumn="0" w:oddVBand="0" w:evenVBand="0" w:oddHBand="0" w:evenHBand="0" w:firstRowFirstColumn="0" w:firstRowLastColumn="0" w:lastRowFirstColumn="0" w:lastRowLastColumn="0"/>
            <w:tcW w:w="3451" w:type="dxa"/>
          </w:tcPr>
          <w:p w14:paraId="782324FD" w14:textId="7F8008B7" w:rsidR="004C56D9" w:rsidRPr="00C66565" w:rsidRDefault="004C56D9" w:rsidP="00CF0A4C">
            <w:pPr>
              <w:rPr>
                <w:b w:val="0"/>
                <w:bCs w:val="0"/>
              </w:rPr>
            </w:pPr>
            <w:r w:rsidRPr="00C66565">
              <w:t>Support for regions through contracting arrangements</w:t>
            </w:r>
          </w:p>
        </w:tc>
        <w:tc>
          <w:tcPr>
            <w:tcW w:w="3703" w:type="dxa"/>
            <w:shd w:val="clear" w:color="auto" w:fill="FFFFFF" w:themeFill="background1"/>
          </w:tcPr>
          <w:p w14:paraId="774F0381" w14:textId="48806BEC" w:rsidR="004C56D9" w:rsidRPr="007B54AB" w:rsidRDefault="004C56D9" w:rsidP="00CF0A4C">
            <w:pPr>
              <w:cnfStyle w:val="000000000000" w:firstRow="0" w:lastRow="0" w:firstColumn="0" w:lastColumn="0" w:oddVBand="0" w:evenVBand="0" w:oddHBand="0" w:evenHBand="0" w:firstRowFirstColumn="0" w:firstRowLastColumn="0" w:lastRowFirstColumn="0" w:lastRowLastColumn="0"/>
            </w:pPr>
            <w:r w:rsidRPr="00E76446">
              <w:t>Percentage of maintenance spend on facility management with local/regional suppliers</w:t>
            </w:r>
          </w:p>
        </w:tc>
        <w:tc>
          <w:tcPr>
            <w:tcW w:w="3047" w:type="dxa"/>
            <w:shd w:val="clear" w:color="auto" w:fill="FFFFFF" w:themeFill="background1"/>
          </w:tcPr>
          <w:p w14:paraId="2D4666F9" w14:textId="0B4209D6" w:rsidR="004C56D9" w:rsidRPr="00EC456C" w:rsidRDefault="004C56D9" w:rsidP="00CF0A4C">
            <w:pPr>
              <w:pStyle w:val="Tableheadings"/>
              <w:cnfStyle w:val="000000000000" w:firstRow="0" w:lastRow="0" w:firstColumn="0" w:lastColumn="0" w:oddVBand="0" w:evenVBand="0" w:oddHBand="0" w:evenHBand="0" w:firstRowFirstColumn="0" w:firstRowLastColumn="0" w:lastRowFirstColumn="0" w:lastRowLastColumn="0"/>
            </w:pPr>
            <w:r w:rsidRPr="00EC456C">
              <w:t>87.2%</w:t>
            </w:r>
          </w:p>
        </w:tc>
      </w:tr>
    </w:tbl>
    <w:p w14:paraId="42C4ADC2" w14:textId="77777777" w:rsidR="004B0283" w:rsidRPr="004B0283" w:rsidRDefault="004B0283" w:rsidP="00CF0A4C">
      <w:r w:rsidRPr="004B0283">
        <w:br w:type="page"/>
      </w:r>
    </w:p>
    <w:p w14:paraId="62E2D7B4" w14:textId="3F255BC8" w:rsidR="0091535E" w:rsidRPr="00673F11" w:rsidRDefault="0091535E" w:rsidP="005D3ADE">
      <w:pPr>
        <w:pStyle w:val="Heading1"/>
      </w:pPr>
      <w:bookmarkStart w:id="24" w:name="_Toc494984623"/>
      <w:r w:rsidRPr="00673F11">
        <w:lastRenderedPageBreak/>
        <w:t>Objective 4: Our organisation</w:t>
      </w:r>
      <w:bookmarkEnd w:id="24"/>
    </w:p>
    <w:p w14:paraId="5841F671" w14:textId="0D187987" w:rsidR="0091535E" w:rsidRPr="00AF428A" w:rsidRDefault="0091535E" w:rsidP="00792F33">
      <w:pPr>
        <w:pStyle w:val="Heading3"/>
      </w:pPr>
      <w:r w:rsidRPr="009137AE">
        <w:t>Empowered people in a collaborative, integrated organisation</w:t>
      </w:r>
    </w:p>
    <w:p w14:paraId="38F2F5BB" w14:textId="197879DE" w:rsidR="00113379" w:rsidRPr="00912E38" w:rsidRDefault="00113379" w:rsidP="00CF0A4C">
      <w:pPr>
        <w:rPr>
          <w:b/>
        </w:rPr>
      </w:pPr>
      <w:r w:rsidRPr="00912E38">
        <w:rPr>
          <w:b/>
        </w:rPr>
        <w:t xml:space="preserve">To invest in our people </w:t>
      </w:r>
      <w:r w:rsidR="0043427F" w:rsidRPr="00912E38">
        <w:rPr>
          <w:b/>
        </w:rPr>
        <w:t xml:space="preserve">and </w:t>
      </w:r>
      <w:r w:rsidRPr="00912E38">
        <w:rPr>
          <w:b/>
        </w:rPr>
        <w:t>achieve performance excellence and workplace diversity</w:t>
      </w:r>
      <w:r w:rsidR="00CB7A9D" w:rsidRPr="00912E38">
        <w:rPr>
          <w:b/>
        </w:rPr>
        <w:t>,</w:t>
      </w:r>
      <w:r w:rsidRPr="00912E38">
        <w:rPr>
          <w:b/>
        </w:rPr>
        <w:t xml:space="preserve"> we:</w:t>
      </w:r>
    </w:p>
    <w:p w14:paraId="441CA8A6" w14:textId="19809BB0" w:rsidR="00113379" w:rsidRPr="00113379" w:rsidRDefault="001D0DD1" w:rsidP="00096C6C">
      <w:pPr>
        <w:pStyle w:val="Bullets"/>
      </w:pPr>
      <w:r>
        <w:t>d</w:t>
      </w:r>
      <w:r w:rsidR="00113379" w:rsidRPr="00113379">
        <w:t xml:space="preserve">eveloped the One Department Strategy </w:t>
      </w:r>
      <w:r w:rsidR="00154682">
        <w:t>to encourage a culture of collaboration</w:t>
      </w:r>
    </w:p>
    <w:p w14:paraId="1A7ED0E8" w14:textId="3227EA44" w:rsidR="00113379" w:rsidRPr="00113379" w:rsidRDefault="001D0DD1" w:rsidP="00096C6C">
      <w:pPr>
        <w:pStyle w:val="Bullets"/>
      </w:pPr>
      <w:r>
        <w:t>i</w:t>
      </w:r>
      <w:r w:rsidR="00113379" w:rsidRPr="00113379">
        <w:t>mplemented MyCareerHub, an online learning and talent management system that provide</w:t>
      </w:r>
      <w:r w:rsidR="00154682">
        <w:t>s</w:t>
      </w:r>
      <w:r w:rsidR="00113379" w:rsidRPr="00113379">
        <w:t xml:space="preserve"> all employees with improved access to training and development opportunities</w:t>
      </w:r>
    </w:p>
    <w:p w14:paraId="0E211DA4" w14:textId="17807C11" w:rsidR="00113379" w:rsidRPr="00113379" w:rsidRDefault="001D0DD1" w:rsidP="00096C6C">
      <w:pPr>
        <w:pStyle w:val="Bullets"/>
      </w:pPr>
      <w:r>
        <w:t>i</w:t>
      </w:r>
      <w:r w:rsidR="00113379" w:rsidRPr="00113379">
        <w:t>mplemented the Healthy and Safe</w:t>
      </w:r>
      <w:r w:rsidR="00154682">
        <w:t xml:space="preserve"> Workforce Action Plan </w:t>
      </w:r>
      <w:r w:rsidR="000C39C3">
        <w:t>2016–18</w:t>
      </w:r>
      <w:r w:rsidR="00154682">
        <w:t xml:space="preserve"> </w:t>
      </w:r>
      <w:r w:rsidR="00113379" w:rsidRPr="00113379">
        <w:t>to improv</w:t>
      </w:r>
      <w:r w:rsidR="00154682">
        <w:t>e</w:t>
      </w:r>
      <w:r w:rsidR="00113379" w:rsidRPr="00113379">
        <w:t xml:space="preserve"> the systems for preventing and managing employee injury/illness, health and wellbeing, and improv</w:t>
      </w:r>
      <w:r w:rsidR="00DA22DC">
        <w:t>e</w:t>
      </w:r>
      <w:r w:rsidR="00113379" w:rsidRPr="00113379">
        <w:t xml:space="preserve"> our organisational health and safety culture</w:t>
      </w:r>
      <w:r w:rsidR="005B522C">
        <w:t>.</w:t>
      </w:r>
    </w:p>
    <w:p w14:paraId="4DD0C548" w14:textId="47F0A31E" w:rsidR="00113379" w:rsidRPr="00912E38" w:rsidRDefault="001D0DD1" w:rsidP="00CF0A4C">
      <w:pPr>
        <w:rPr>
          <w:b/>
        </w:rPr>
      </w:pPr>
      <w:r w:rsidRPr="00912E38">
        <w:rPr>
          <w:b/>
        </w:rPr>
        <w:t>To p</w:t>
      </w:r>
      <w:r w:rsidR="00113379" w:rsidRPr="00912E38">
        <w:rPr>
          <w:b/>
        </w:rPr>
        <w:t>rogress strong leadership and engagement, a professional culture and good governance to motivate values-driven service delivery</w:t>
      </w:r>
      <w:r w:rsidR="00CB7A9D" w:rsidRPr="00912E38">
        <w:rPr>
          <w:b/>
        </w:rPr>
        <w:t>,</w:t>
      </w:r>
      <w:r w:rsidR="00113379" w:rsidRPr="00912E38">
        <w:rPr>
          <w:b/>
        </w:rPr>
        <w:t xml:space="preserve"> </w:t>
      </w:r>
      <w:r w:rsidRPr="00912E38">
        <w:rPr>
          <w:b/>
        </w:rPr>
        <w:t>we:</w:t>
      </w:r>
    </w:p>
    <w:p w14:paraId="2863677A" w14:textId="7FBE8169" w:rsidR="00CB7A9D" w:rsidRDefault="00CB7A9D" w:rsidP="00096C6C">
      <w:pPr>
        <w:pStyle w:val="Bullets"/>
      </w:pPr>
      <w:r w:rsidRPr="00113379">
        <w:t>progressed key executive-led projects on strategic leadership capabilities</w:t>
      </w:r>
      <w:r w:rsidR="005B522C">
        <w:t>,</w:t>
      </w:r>
      <w:r w:rsidRPr="00113379">
        <w:t xml:space="preserve"> leadership at all levels</w:t>
      </w:r>
      <w:r w:rsidR="005B522C">
        <w:t>,</w:t>
      </w:r>
      <w:r w:rsidRPr="00113379">
        <w:t xml:space="preserve"> data analytics capabilities</w:t>
      </w:r>
      <w:r w:rsidR="005B522C">
        <w:t>,</w:t>
      </w:r>
      <w:r w:rsidRPr="00113379">
        <w:t xml:space="preserve"> and innovation</w:t>
      </w:r>
      <w:r w:rsidR="005B522C">
        <w:t>,</w:t>
      </w:r>
      <w:r w:rsidRPr="690957E2">
        <w:t xml:space="preserve"> </w:t>
      </w:r>
      <w:r w:rsidR="00154682">
        <w:t>to better position our department to meet future challenges</w:t>
      </w:r>
    </w:p>
    <w:p w14:paraId="2C8CA645" w14:textId="473237B0" w:rsidR="00113379" w:rsidRPr="00113379" w:rsidRDefault="001D0DD1" w:rsidP="00096C6C">
      <w:pPr>
        <w:pStyle w:val="Bullets"/>
      </w:pPr>
      <w:r>
        <w:t>d</w:t>
      </w:r>
      <w:r w:rsidR="00113379" w:rsidRPr="00113379">
        <w:t>elivered Taking the Lead, Managing for Results and Emerging Leaders programs and developed a leadership at all levels framework</w:t>
      </w:r>
      <w:r w:rsidR="005B522C">
        <w:t>.</w:t>
      </w:r>
    </w:p>
    <w:p w14:paraId="0DEFE08B" w14:textId="76632A8C" w:rsidR="00113379" w:rsidRPr="00912E38" w:rsidRDefault="001D0DD1" w:rsidP="00CF0A4C">
      <w:pPr>
        <w:rPr>
          <w:b/>
        </w:rPr>
      </w:pPr>
      <w:r w:rsidRPr="00912E38">
        <w:rPr>
          <w:b/>
        </w:rPr>
        <w:t>To e</w:t>
      </w:r>
      <w:r w:rsidR="00113379" w:rsidRPr="00912E38">
        <w:rPr>
          <w:b/>
        </w:rPr>
        <w:t>mbrace changing technology and tools to ensure responsive solutions, flexible operations and service innovation</w:t>
      </w:r>
      <w:r w:rsidR="00DA22DC" w:rsidRPr="00912E38">
        <w:rPr>
          <w:b/>
        </w:rPr>
        <w:t>,</w:t>
      </w:r>
      <w:r w:rsidRPr="00912E38">
        <w:rPr>
          <w:b/>
        </w:rPr>
        <w:t xml:space="preserve"> we:</w:t>
      </w:r>
    </w:p>
    <w:p w14:paraId="2AD36D99" w14:textId="3E7DC6CF" w:rsidR="00113379" w:rsidRPr="00113379" w:rsidRDefault="001D0DD1" w:rsidP="00096C6C">
      <w:pPr>
        <w:pStyle w:val="Bullets"/>
      </w:pPr>
      <w:r>
        <w:t>p</w:t>
      </w:r>
      <w:r w:rsidR="00113379" w:rsidRPr="00113379">
        <w:t xml:space="preserve">rovided </w:t>
      </w:r>
      <w:r w:rsidR="00A24D5D" w:rsidRPr="00113379">
        <w:t>Wi-Fi</w:t>
      </w:r>
      <w:r w:rsidR="00113379" w:rsidRPr="00113379">
        <w:t xml:space="preserve"> to all departmental offices across the state</w:t>
      </w:r>
      <w:r w:rsidR="009F5EE0">
        <w:t>,</w:t>
      </w:r>
      <w:r w:rsidR="00113379" w:rsidRPr="00113379">
        <w:t xml:space="preserve"> allow</w:t>
      </w:r>
      <w:r w:rsidR="00DA22DC">
        <w:t>ing</w:t>
      </w:r>
      <w:r w:rsidR="00113379" w:rsidRPr="00113379">
        <w:t xml:space="preserve"> mobile devices to seamlessly connect to the corporate network and provide guest </w:t>
      </w:r>
      <w:r w:rsidR="00A24D5D" w:rsidRPr="00113379">
        <w:t xml:space="preserve">Wi-Fi </w:t>
      </w:r>
      <w:r w:rsidR="00113379" w:rsidRPr="00113379">
        <w:t>for personal or other mobile devices with filtered internet access</w:t>
      </w:r>
    </w:p>
    <w:p w14:paraId="0C2059D5" w14:textId="7C6382E6" w:rsidR="00113379" w:rsidRPr="00113379" w:rsidRDefault="00DA22DC" w:rsidP="00096C6C">
      <w:pPr>
        <w:pStyle w:val="Bullets"/>
      </w:pPr>
      <w:r>
        <w:t>p</w:t>
      </w:r>
      <w:r w:rsidR="00113379" w:rsidRPr="00113379">
        <w:t>articipated in a trial of shared network connectivity to Roma with other government agencies, producing results which increased bandwidth and lowered costs</w:t>
      </w:r>
      <w:r w:rsidRPr="690957E2">
        <w:t>.</w:t>
      </w:r>
    </w:p>
    <w:p w14:paraId="5022EC49" w14:textId="0E4758F3" w:rsidR="00113379" w:rsidRPr="00912E38" w:rsidRDefault="00FE5213" w:rsidP="00CF0A4C">
      <w:pPr>
        <w:rPr>
          <w:b/>
        </w:rPr>
      </w:pPr>
      <w:r w:rsidRPr="00912E38">
        <w:rPr>
          <w:b/>
        </w:rPr>
        <w:t>To e</w:t>
      </w:r>
      <w:r w:rsidR="00113379" w:rsidRPr="00912E38">
        <w:rPr>
          <w:b/>
        </w:rPr>
        <w:t>ngage with staff and customers to develop responsive service delivery</w:t>
      </w:r>
      <w:r w:rsidR="00154682" w:rsidRPr="00912E38">
        <w:rPr>
          <w:b/>
        </w:rPr>
        <w:t>,</w:t>
      </w:r>
      <w:r w:rsidRPr="00912E38">
        <w:rPr>
          <w:b/>
        </w:rPr>
        <w:t xml:space="preserve"> we:</w:t>
      </w:r>
    </w:p>
    <w:p w14:paraId="39914531" w14:textId="3DE8021B" w:rsidR="00300DAB" w:rsidRPr="00816F93" w:rsidRDefault="00300DAB" w:rsidP="00096C6C">
      <w:pPr>
        <w:pStyle w:val="Bullets"/>
      </w:pPr>
      <w:r w:rsidRPr="00816F93">
        <w:t xml:space="preserve">implemented a </w:t>
      </w:r>
      <w:r w:rsidR="005D516B">
        <w:t>range of</w:t>
      </w:r>
      <w:r w:rsidRPr="00816F93">
        <w:t xml:space="preserve"> new engagement processes under the building construction and maintenance procurement category, including a Collaboration Forum for government and industry to work together on strategies</w:t>
      </w:r>
      <w:r w:rsidR="003C2EC8" w:rsidRPr="690957E2">
        <w:t>,</w:t>
      </w:r>
      <w:r w:rsidRPr="00816F93">
        <w:t xml:space="preserve"> and an Industry Reference Group to provide 16 industry bodies with opportunities to provide feedback to the department</w:t>
      </w:r>
    </w:p>
    <w:p w14:paraId="15183561" w14:textId="08A59217" w:rsidR="00300DAB" w:rsidRPr="00816F93" w:rsidRDefault="00300DAB" w:rsidP="00096C6C">
      <w:pPr>
        <w:pStyle w:val="Bullets"/>
      </w:pPr>
      <w:r w:rsidRPr="00816F93">
        <w:t xml:space="preserve">implemented a Tenant Engagement </w:t>
      </w:r>
      <w:r w:rsidR="00BF6F1C">
        <w:t>P</w:t>
      </w:r>
      <w:r w:rsidRPr="00816F93">
        <w:t>rogram that creates opportunities for public housing tenants to engage with the department and their neighbourhoods</w:t>
      </w:r>
    </w:p>
    <w:p w14:paraId="30CA2A51" w14:textId="77777777" w:rsidR="00300DAB" w:rsidRPr="00113379" w:rsidRDefault="00300DAB" w:rsidP="00CF0A4C"/>
    <w:p w14:paraId="2A1F2387" w14:textId="4A778A49" w:rsidR="0063785C" w:rsidRDefault="005C231A" w:rsidP="00792F33">
      <w:pPr>
        <w:pStyle w:val="Heading3"/>
      </w:pPr>
      <w:r w:rsidRPr="00214DF2">
        <w:t xml:space="preserve">Our </w:t>
      </w:r>
      <w:r w:rsidR="009137AE">
        <w:t>P</w:t>
      </w:r>
      <w:r w:rsidRPr="00214DF2">
        <w:t>erformance</w:t>
      </w:r>
    </w:p>
    <w:p w14:paraId="3AE4533A" w14:textId="09A93658" w:rsidR="005C231A" w:rsidRPr="00214DF2" w:rsidRDefault="0063785C" w:rsidP="00CF0A4C">
      <w:pPr>
        <w:rPr>
          <w:color w:val="008080"/>
        </w:rPr>
      </w:pPr>
      <w:r w:rsidRPr="5E3A9904">
        <w:t>Data below will be presented as infographics</w:t>
      </w:r>
    </w:p>
    <w:tbl>
      <w:tblPr>
        <w:tblStyle w:val="ListTable3"/>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387"/>
        <w:gridCol w:w="3413"/>
      </w:tblGrid>
      <w:tr w:rsidR="005C231A" w:rsidRPr="00084C7E" w14:paraId="05D629C9" w14:textId="77777777" w:rsidTr="0004270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86" w:type="dxa"/>
          </w:tcPr>
          <w:p w14:paraId="6459A3B5" w14:textId="77777777" w:rsidR="005C231A" w:rsidRPr="00084C7E" w:rsidRDefault="005C231A" w:rsidP="00CF0A4C">
            <w:r w:rsidRPr="008628D6">
              <w:t>Performance Indicator</w:t>
            </w:r>
          </w:p>
        </w:tc>
        <w:tc>
          <w:tcPr>
            <w:tcW w:w="3387" w:type="dxa"/>
          </w:tcPr>
          <w:p w14:paraId="5DEA51C9" w14:textId="77777777" w:rsidR="005C231A" w:rsidRPr="00084C7E" w:rsidRDefault="005C231A" w:rsidP="00CF0A4C">
            <w:pPr>
              <w:cnfStyle w:val="100000000000" w:firstRow="1" w:lastRow="0" w:firstColumn="0" w:lastColumn="0" w:oddVBand="0" w:evenVBand="0" w:oddHBand="0" w:evenHBand="0" w:firstRowFirstColumn="0" w:firstRowLastColumn="0" w:lastRowFirstColumn="0" w:lastRowLastColumn="0"/>
            </w:pPr>
            <w:r w:rsidRPr="00084C7E">
              <w:t>Measure</w:t>
            </w:r>
          </w:p>
        </w:tc>
        <w:tc>
          <w:tcPr>
            <w:tcW w:w="3413" w:type="dxa"/>
          </w:tcPr>
          <w:p w14:paraId="01506F9A" w14:textId="77777777" w:rsidR="005C231A" w:rsidRPr="008628D6" w:rsidRDefault="005C231A" w:rsidP="00CF0A4C">
            <w:pPr>
              <w:cnfStyle w:val="100000000000" w:firstRow="1" w:lastRow="0" w:firstColumn="0" w:lastColumn="0" w:oddVBand="0" w:evenVBand="0" w:oddHBand="0" w:evenHBand="0" w:firstRowFirstColumn="0" w:firstRowLastColumn="0" w:lastRowFirstColumn="0" w:lastRowLastColumn="0"/>
            </w:pPr>
            <w:r w:rsidRPr="008628D6">
              <w:t>Result</w:t>
            </w:r>
          </w:p>
        </w:tc>
      </w:tr>
      <w:tr w:rsidR="00542A48" w:rsidRPr="00661043" w14:paraId="1361E31F" w14:textId="77777777" w:rsidTr="00A07DB0">
        <w:trPr>
          <w:cnfStyle w:val="000000100000" w:firstRow="0" w:lastRow="0" w:firstColumn="0" w:lastColumn="0" w:oddVBand="0" w:evenVBand="0" w:oddHBand="1" w:evenHBand="0" w:firstRowFirstColumn="0" w:firstRowLastColumn="0" w:lastRowFirstColumn="0" w:lastRowLastColumn="0"/>
          <w:trHeight w:val="730"/>
        </w:trPr>
        <w:tc>
          <w:tcPr>
            <w:cnfStyle w:val="001000000000" w:firstRow="0" w:lastRow="0" w:firstColumn="1" w:lastColumn="0" w:oddVBand="0" w:evenVBand="0" w:oddHBand="0" w:evenHBand="0" w:firstRowFirstColumn="0" w:firstRowLastColumn="0" w:lastRowFirstColumn="0" w:lastRowLastColumn="0"/>
            <w:tcW w:w="3386" w:type="dxa"/>
          </w:tcPr>
          <w:p w14:paraId="040DB866" w14:textId="77777777" w:rsidR="00542A48" w:rsidRPr="00277A93" w:rsidRDefault="00542A48" w:rsidP="00CF0A4C">
            <w:r w:rsidRPr="00CF4C28">
              <w:t>Staff satisfaction and empowerment</w:t>
            </w:r>
          </w:p>
        </w:tc>
        <w:tc>
          <w:tcPr>
            <w:tcW w:w="3387" w:type="dxa"/>
            <w:shd w:val="clear" w:color="auto" w:fill="FFFFFF" w:themeFill="background1"/>
          </w:tcPr>
          <w:p w14:paraId="1D67DEC2" w14:textId="77777777" w:rsidR="00542A48" w:rsidRPr="00661043" w:rsidRDefault="00542A48" w:rsidP="00CF0A4C">
            <w:pPr>
              <w:cnfStyle w:val="000000100000" w:firstRow="0" w:lastRow="0" w:firstColumn="0" w:lastColumn="0" w:oddVBand="0" w:evenVBand="0" w:oddHBand="1" w:evenHBand="0" w:firstRowFirstColumn="0" w:firstRowLastColumn="0" w:lastRowFirstColumn="0" w:lastRowLastColumn="0"/>
            </w:pPr>
            <w:r w:rsidRPr="00661043">
              <w:t xml:space="preserve">One Department Strategy developed and implementation in progress </w:t>
            </w:r>
          </w:p>
        </w:tc>
        <w:tc>
          <w:tcPr>
            <w:tcW w:w="3413" w:type="dxa"/>
            <w:shd w:val="clear" w:color="auto" w:fill="FFFFFF" w:themeFill="background1"/>
          </w:tcPr>
          <w:p w14:paraId="34D9676F" w14:textId="3E2371DC" w:rsidR="00542A48" w:rsidRPr="00661043" w:rsidRDefault="00542A48" w:rsidP="00CF0A4C">
            <w:pPr>
              <w:pStyle w:val="Tableheadings"/>
              <w:cnfStyle w:val="000000100000" w:firstRow="0" w:lastRow="0" w:firstColumn="0" w:lastColumn="0" w:oddVBand="0" w:evenVBand="0" w:oddHBand="1" w:evenHBand="0" w:firstRowFirstColumn="0" w:firstRowLastColumn="0" w:lastRowFirstColumn="0" w:lastRowLastColumn="0"/>
              <w:rPr>
                <w:color w:val="000000" w:themeColor="text1"/>
              </w:rPr>
            </w:pPr>
            <w:r w:rsidRPr="00661043">
              <w:t>One Department Strategy launched</w:t>
            </w:r>
            <w:r>
              <w:t>.</w:t>
            </w:r>
            <w:r w:rsidRPr="00661043">
              <w:t xml:space="preserve"> </w:t>
            </w:r>
            <w:r>
              <w:t>Implementation in progress.</w:t>
            </w:r>
          </w:p>
        </w:tc>
      </w:tr>
      <w:tr w:rsidR="00542A48" w:rsidRPr="00661043" w14:paraId="5B96800F" w14:textId="77777777" w:rsidTr="00A07DB0">
        <w:trPr>
          <w:trHeight w:val="556"/>
        </w:trPr>
        <w:tc>
          <w:tcPr>
            <w:cnfStyle w:val="001000000000" w:firstRow="0" w:lastRow="0" w:firstColumn="1" w:lastColumn="0" w:oddVBand="0" w:evenVBand="0" w:oddHBand="0" w:evenHBand="0" w:firstRowFirstColumn="0" w:firstRowLastColumn="0" w:lastRowFirstColumn="0" w:lastRowLastColumn="0"/>
            <w:tcW w:w="3386" w:type="dxa"/>
          </w:tcPr>
          <w:p w14:paraId="2D52CEEA" w14:textId="6F359DF1" w:rsidR="00542A48" w:rsidRPr="00661043" w:rsidRDefault="00AE3231" w:rsidP="00CF0A4C">
            <w:r w:rsidRPr="00CF4C28">
              <w:t>Staff satisfaction and empowerment</w:t>
            </w:r>
          </w:p>
        </w:tc>
        <w:tc>
          <w:tcPr>
            <w:tcW w:w="3387" w:type="dxa"/>
            <w:shd w:val="clear" w:color="auto" w:fill="FFFFFF" w:themeFill="background1"/>
          </w:tcPr>
          <w:p w14:paraId="5CD8B8C1" w14:textId="2B164479" w:rsidR="00542A48" w:rsidRPr="000E0A28" w:rsidRDefault="00542A48" w:rsidP="00040E2E">
            <w:pPr>
              <w:pStyle w:val="Tableheadings"/>
              <w:spacing w:before="0"/>
              <w:cnfStyle w:val="000000000000" w:firstRow="0" w:lastRow="0" w:firstColumn="0" w:lastColumn="0" w:oddVBand="0" w:evenVBand="0" w:oddHBand="0" w:evenHBand="0" w:firstRowFirstColumn="0" w:firstRowLastColumn="0" w:lastRowFirstColumn="0" w:lastRowLastColumn="0"/>
            </w:pPr>
            <w:r w:rsidRPr="00661043">
              <w:t xml:space="preserve">Improved </w:t>
            </w:r>
            <w:r>
              <w:t>l</w:t>
            </w:r>
            <w:r w:rsidRPr="00661043">
              <w:t>eade</w:t>
            </w:r>
            <w:r>
              <w:t>rship and engagement</w:t>
            </w:r>
          </w:p>
        </w:tc>
        <w:tc>
          <w:tcPr>
            <w:tcW w:w="3413" w:type="dxa"/>
            <w:shd w:val="clear" w:color="auto" w:fill="FFFFFF" w:themeFill="background1"/>
          </w:tcPr>
          <w:p w14:paraId="0134A47A" w14:textId="77777777" w:rsidR="00542A48" w:rsidRPr="00661043" w:rsidRDefault="00542A48" w:rsidP="00CF0A4C">
            <w:pPr>
              <w:pStyle w:val="Tableheadings"/>
              <w:cnfStyle w:val="000000000000" w:firstRow="0" w:lastRow="0" w:firstColumn="0" w:lastColumn="0" w:oddVBand="0" w:evenVBand="0" w:oddHBand="0" w:evenHBand="0" w:firstRowFirstColumn="0" w:firstRowLastColumn="0" w:lastRowFirstColumn="0" w:lastRowLastColumn="0"/>
              <w:rPr>
                <w:color w:val="000000" w:themeColor="text1"/>
              </w:rPr>
            </w:pPr>
            <w:r>
              <w:t>54%</w:t>
            </w:r>
          </w:p>
        </w:tc>
      </w:tr>
      <w:tr w:rsidR="005C231A" w:rsidRPr="00661043" w14:paraId="71BF6606" w14:textId="77777777" w:rsidTr="007B7C61">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386" w:type="dxa"/>
          </w:tcPr>
          <w:p w14:paraId="37BBB1F1" w14:textId="77777777" w:rsidR="005C231A" w:rsidRPr="00277A93" w:rsidRDefault="005C231A" w:rsidP="00CF0A4C">
            <w:r w:rsidRPr="00CF4C28">
              <w:t>Skilled and culturally capable workforce</w:t>
            </w:r>
          </w:p>
        </w:tc>
        <w:tc>
          <w:tcPr>
            <w:tcW w:w="3387" w:type="dxa"/>
            <w:shd w:val="clear" w:color="auto" w:fill="FFFFFF" w:themeFill="background1"/>
          </w:tcPr>
          <w:p w14:paraId="36A63E79" w14:textId="0C9AD699" w:rsidR="005C231A" w:rsidRPr="00661043" w:rsidRDefault="005C231A" w:rsidP="00040E2E">
            <w:pPr>
              <w:pStyle w:val="Tableheadings"/>
              <w:spacing w:before="0"/>
              <w:cnfStyle w:val="000000100000" w:firstRow="0" w:lastRow="0" w:firstColumn="0" w:lastColumn="0" w:oddVBand="0" w:evenVBand="0" w:oddHBand="1" w:evenHBand="0" w:firstRowFirstColumn="0" w:firstRowLastColumn="0" w:lastRowFirstColumn="0" w:lastRowLastColumn="0"/>
            </w:pPr>
            <w:r w:rsidRPr="00661043">
              <w:t xml:space="preserve">Improved </w:t>
            </w:r>
            <w:r w:rsidR="00480D92">
              <w:t>p</w:t>
            </w:r>
            <w:r w:rsidRPr="00661043">
              <w:t xml:space="preserve">erformance and </w:t>
            </w:r>
            <w:r w:rsidR="00480D92">
              <w:t>d</w:t>
            </w:r>
            <w:r w:rsidRPr="00661043">
              <w:t>evelopment (EO</w:t>
            </w:r>
            <w:r>
              <w:t xml:space="preserve">S) (HR) </w:t>
            </w:r>
          </w:p>
        </w:tc>
        <w:tc>
          <w:tcPr>
            <w:tcW w:w="3413" w:type="dxa"/>
            <w:shd w:val="clear" w:color="auto" w:fill="FFFFFF" w:themeFill="background1"/>
          </w:tcPr>
          <w:p w14:paraId="22B76C38" w14:textId="77777777" w:rsidR="005C231A" w:rsidRPr="00661043" w:rsidRDefault="005C231A" w:rsidP="00CF0A4C">
            <w:pPr>
              <w:pStyle w:val="Tableheadings"/>
              <w:cnfStyle w:val="000000100000" w:firstRow="0" w:lastRow="0" w:firstColumn="0" w:lastColumn="0" w:oddVBand="0" w:evenVBand="0" w:oddHBand="1" w:evenHBand="0" w:firstRowFirstColumn="0" w:firstRowLastColumn="0" w:lastRowFirstColumn="0" w:lastRowLastColumn="0"/>
              <w:rPr>
                <w:color w:val="000000" w:themeColor="text1"/>
              </w:rPr>
            </w:pPr>
            <w:r>
              <w:t>62%</w:t>
            </w:r>
          </w:p>
        </w:tc>
      </w:tr>
      <w:tr w:rsidR="005C231A" w:rsidRPr="00661043" w14:paraId="447413B3" w14:textId="77777777" w:rsidTr="007B7C61">
        <w:trPr>
          <w:trHeight w:val="1039"/>
        </w:trPr>
        <w:tc>
          <w:tcPr>
            <w:cnfStyle w:val="001000000000" w:firstRow="0" w:lastRow="0" w:firstColumn="1" w:lastColumn="0" w:oddVBand="0" w:evenVBand="0" w:oddHBand="0" w:evenHBand="0" w:firstRowFirstColumn="0" w:firstRowLastColumn="0" w:lastRowFirstColumn="0" w:lastRowLastColumn="0"/>
            <w:tcW w:w="3386" w:type="dxa"/>
          </w:tcPr>
          <w:p w14:paraId="56B9F189" w14:textId="77777777" w:rsidR="005C231A" w:rsidRPr="00661043" w:rsidRDefault="005C231A" w:rsidP="00CF0A4C"/>
        </w:tc>
        <w:tc>
          <w:tcPr>
            <w:tcW w:w="3387" w:type="dxa"/>
            <w:shd w:val="clear" w:color="auto" w:fill="FFFFFF" w:themeFill="background1"/>
          </w:tcPr>
          <w:p w14:paraId="3673EA43" w14:textId="70D3E08E" w:rsidR="005C231A" w:rsidRPr="00A8474B" w:rsidRDefault="005C231A" w:rsidP="00CF0A4C">
            <w:pPr>
              <w:cnfStyle w:val="000000000000" w:firstRow="0" w:lastRow="0" w:firstColumn="0" w:lastColumn="0" w:oddVBand="0" w:evenVBand="0" w:oddHBand="0" w:evenHBand="0" w:firstRowFirstColumn="0" w:firstRowLastColumn="0" w:lastRowFirstColumn="0" w:lastRowLastColumn="0"/>
              <w:rPr>
                <w:color w:val="000000" w:themeColor="text1"/>
              </w:rPr>
            </w:pPr>
            <w:r w:rsidRPr="00816F93">
              <w:t xml:space="preserve">Progress of the implementation of the Aboriginal and Torres Strait Islander Advancement Framework </w:t>
            </w:r>
          </w:p>
        </w:tc>
        <w:tc>
          <w:tcPr>
            <w:tcW w:w="3413" w:type="dxa"/>
            <w:shd w:val="clear" w:color="auto" w:fill="FFFFFF" w:themeFill="background1"/>
          </w:tcPr>
          <w:p w14:paraId="17EEEFD9" w14:textId="30BB5882" w:rsidR="005C231A" w:rsidRPr="00661043" w:rsidRDefault="00A8474B" w:rsidP="00CF0A4C">
            <w:pPr>
              <w:pStyle w:val="Tableheadings"/>
              <w:cnfStyle w:val="000000000000" w:firstRow="0" w:lastRow="0" w:firstColumn="0" w:lastColumn="0" w:oddVBand="0" w:evenVBand="0" w:oddHBand="0" w:evenHBand="0" w:firstRowFirstColumn="0" w:firstRowLastColumn="0" w:lastRowFirstColumn="0" w:lastRowLastColumn="0"/>
            </w:pPr>
            <w:r>
              <w:t>Framework completed.</w:t>
            </w:r>
          </w:p>
        </w:tc>
      </w:tr>
      <w:tr w:rsidR="00542A48" w:rsidRPr="00661043" w14:paraId="6087B6A9" w14:textId="77777777" w:rsidTr="00542A48">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3386" w:type="dxa"/>
          </w:tcPr>
          <w:p w14:paraId="342498E3" w14:textId="77777777" w:rsidR="00542A48" w:rsidRPr="00277A93" w:rsidRDefault="00542A48" w:rsidP="00CF0A4C">
            <w:r w:rsidRPr="00CF4C28">
              <w:t>Support for a diverse workforce</w:t>
            </w:r>
          </w:p>
        </w:tc>
        <w:tc>
          <w:tcPr>
            <w:tcW w:w="3387" w:type="dxa"/>
            <w:shd w:val="clear" w:color="auto" w:fill="FFFFFF" w:themeFill="background1"/>
          </w:tcPr>
          <w:p w14:paraId="4CC742DA" w14:textId="3B0C21A1" w:rsidR="00542A48" w:rsidRPr="00661043" w:rsidRDefault="00542A48" w:rsidP="00CF0A4C">
            <w:pPr>
              <w:pStyle w:val="Tableheadings"/>
              <w:cnfStyle w:val="000000100000" w:firstRow="0" w:lastRow="0" w:firstColumn="0" w:lastColumn="0" w:oddVBand="0" w:evenVBand="0" w:oddHBand="1" w:evenHBand="0" w:firstRowFirstColumn="0" w:firstRowLastColumn="0" w:lastRowFirstColumn="0" w:lastRowLastColumn="0"/>
            </w:pPr>
            <w:r w:rsidRPr="00661043">
              <w:t>Support workforce diversity (EEO surveys)</w:t>
            </w:r>
            <w:r>
              <w:t>:</w:t>
            </w:r>
            <w:r w:rsidRPr="00661043">
              <w:t xml:space="preserve"> </w:t>
            </w:r>
          </w:p>
        </w:tc>
        <w:tc>
          <w:tcPr>
            <w:tcW w:w="3413" w:type="dxa"/>
            <w:shd w:val="clear" w:color="auto" w:fill="FFFFFF" w:themeFill="background1"/>
          </w:tcPr>
          <w:p w14:paraId="135C8C86" w14:textId="10033B64" w:rsidR="00542A48" w:rsidRPr="00661043" w:rsidRDefault="00542A48" w:rsidP="00CF0A4C">
            <w:pPr>
              <w:pStyle w:val="Tableheadings"/>
              <w:cnfStyle w:val="000000100000" w:firstRow="0" w:lastRow="0" w:firstColumn="0" w:lastColumn="0" w:oddVBand="0" w:evenVBand="0" w:oddHBand="1" w:evenHBand="0" w:firstRowFirstColumn="0" w:firstRowLastColumn="0" w:lastRowFirstColumn="0" w:lastRowLastColumn="0"/>
            </w:pPr>
          </w:p>
        </w:tc>
      </w:tr>
      <w:tr w:rsidR="00542A48" w:rsidRPr="00661043" w14:paraId="6B6D5BA7" w14:textId="77777777" w:rsidTr="00542A48">
        <w:trPr>
          <w:trHeight w:val="749"/>
        </w:trPr>
        <w:tc>
          <w:tcPr>
            <w:cnfStyle w:val="001000000000" w:firstRow="0" w:lastRow="0" w:firstColumn="1" w:lastColumn="0" w:oddVBand="0" w:evenVBand="0" w:oddHBand="0" w:evenHBand="0" w:firstRowFirstColumn="0" w:firstRowLastColumn="0" w:lastRowFirstColumn="0" w:lastRowLastColumn="0"/>
            <w:tcW w:w="3386" w:type="dxa"/>
          </w:tcPr>
          <w:p w14:paraId="2E9FD251" w14:textId="3FBC4D36" w:rsidR="00542A48" w:rsidRPr="00CF4C28" w:rsidRDefault="00AE3231" w:rsidP="00CF0A4C">
            <w:r w:rsidRPr="00CF4C28">
              <w:t>Support for a diverse workforce</w:t>
            </w:r>
          </w:p>
        </w:tc>
        <w:tc>
          <w:tcPr>
            <w:tcW w:w="3387" w:type="dxa"/>
            <w:shd w:val="clear" w:color="auto" w:fill="FFFFFF" w:themeFill="background1"/>
          </w:tcPr>
          <w:p w14:paraId="445449BD" w14:textId="4BE575CB" w:rsidR="00542A48" w:rsidRPr="00661043" w:rsidRDefault="00542A48" w:rsidP="00542A48">
            <w:pPr>
              <w:pStyle w:val="Tableheadings"/>
              <w:cnfStyle w:val="000000000000" w:firstRow="0" w:lastRow="0" w:firstColumn="0" w:lastColumn="0" w:oddVBand="0" w:evenVBand="0" w:oddHBand="0" w:evenHBand="0" w:firstRowFirstColumn="0" w:firstRowLastColumn="0" w:lastRowFirstColumn="0" w:lastRowLastColumn="0"/>
            </w:pPr>
            <w:r w:rsidRPr="00661043">
              <w:t>Percentage of Aboriginal and Torres Strait Islander people</w:t>
            </w:r>
          </w:p>
        </w:tc>
        <w:tc>
          <w:tcPr>
            <w:tcW w:w="3413" w:type="dxa"/>
            <w:shd w:val="clear" w:color="auto" w:fill="FFFFFF" w:themeFill="background1"/>
          </w:tcPr>
          <w:p w14:paraId="709DA91B" w14:textId="32B8DDD3" w:rsidR="00542A48" w:rsidRDefault="00542A48" w:rsidP="00542A48">
            <w:pPr>
              <w:pStyle w:val="Tableheadings"/>
              <w:cnfStyle w:val="000000000000" w:firstRow="0" w:lastRow="0" w:firstColumn="0" w:lastColumn="0" w:oddVBand="0" w:evenVBand="0" w:oddHBand="0" w:evenHBand="0" w:firstRowFirstColumn="0" w:firstRowLastColumn="0" w:lastRowFirstColumn="0" w:lastRowLastColumn="0"/>
            </w:pPr>
            <w:r w:rsidRPr="00661043">
              <w:t>4.8%</w:t>
            </w:r>
          </w:p>
        </w:tc>
      </w:tr>
      <w:tr w:rsidR="00542A48" w:rsidRPr="00661043" w14:paraId="404D3792" w14:textId="77777777" w:rsidTr="00542A4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386" w:type="dxa"/>
          </w:tcPr>
          <w:p w14:paraId="51776442" w14:textId="59CCE02D" w:rsidR="00542A48" w:rsidRPr="00661043" w:rsidRDefault="00AE3231" w:rsidP="00CF0A4C">
            <w:r w:rsidRPr="00CF4C28">
              <w:t>Support for a diverse workforce</w:t>
            </w:r>
          </w:p>
        </w:tc>
        <w:tc>
          <w:tcPr>
            <w:tcW w:w="3387" w:type="dxa"/>
            <w:shd w:val="clear" w:color="auto" w:fill="FFFFFF" w:themeFill="background1"/>
          </w:tcPr>
          <w:p w14:paraId="6C4E2346" w14:textId="77777777" w:rsidR="00542A48" w:rsidRPr="00661043" w:rsidRDefault="00542A48" w:rsidP="00CF0A4C">
            <w:pPr>
              <w:pStyle w:val="Tableheadings"/>
              <w:cnfStyle w:val="000000100000" w:firstRow="0" w:lastRow="0" w:firstColumn="0" w:lastColumn="0" w:oddVBand="0" w:evenVBand="0" w:oddHBand="1" w:evenHBand="0" w:firstRowFirstColumn="0" w:firstRowLastColumn="0" w:lastRowFirstColumn="0" w:lastRowLastColumn="0"/>
            </w:pPr>
            <w:r w:rsidRPr="00661043">
              <w:t xml:space="preserve">Percentage of people with a disability </w:t>
            </w:r>
          </w:p>
        </w:tc>
        <w:tc>
          <w:tcPr>
            <w:tcW w:w="3413" w:type="dxa"/>
            <w:shd w:val="clear" w:color="auto" w:fill="FFFFFF" w:themeFill="background1"/>
          </w:tcPr>
          <w:p w14:paraId="0CAC1278" w14:textId="77777777" w:rsidR="00542A48" w:rsidRPr="00661043" w:rsidRDefault="00542A48" w:rsidP="00CF0A4C">
            <w:pPr>
              <w:pStyle w:val="Tableheadings"/>
              <w:cnfStyle w:val="000000100000" w:firstRow="0" w:lastRow="0" w:firstColumn="0" w:lastColumn="0" w:oddVBand="0" w:evenVBand="0" w:oddHBand="1" w:evenHBand="0" w:firstRowFirstColumn="0" w:firstRowLastColumn="0" w:lastRowFirstColumn="0" w:lastRowLastColumn="0"/>
            </w:pPr>
            <w:r w:rsidRPr="00661043">
              <w:t>4.2%</w:t>
            </w:r>
          </w:p>
        </w:tc>
      </w:tr>
      <w:tr w:rsidR="00542A48" w:rsidRPr="00661043" w14:paraId="080830E3" w14:textId="77777777" w:rsidTr="00542A48">
        <w:trPr>
          <w:trHeight w:val="325"/>
        </w:trPr>
        <w:tc>
          <w:tcPr>
            <w:cnfStyle w:val="001000000000" w:firstRow="0" w:lastRow="0" w:firstColumn="1" w:lastColumn="0" w:oddVBand="0" w:evenVBand="0" w:oddHBand="0" w:evenHBand="0" w:firstRowFirstColumn="0" w:firstRowLastColumn="0" w:lastRowFirstColumn="0" w:lastRowLastColumn="0"/>
            <w:tcW w:w="3386" w:type="dxa"/>
          </w:tcPr>
          <w:p w14:paraId="6D59BBCC" w14:textId="49258C8A" w:rsidR="00542A48" w:rsidRPr="00661043" w:rsidRDefault="00AE3231" w:rsidP="00CF0A4C">
            <w:r w:rsidRPr="00CF4C28">
              <w:t>Support for a diverse workforce</w:t>
            </w:r>
          </w:p>
        </w:tc>
        <w:tc>
          <w:tcPr>
            <w:tcW w:w="3387" w:type="dxa"/>
            <w:shd w:val="clear" w:color="auto" w:fill="FFFFFF" w:themeFill="background1"/>
          </w:tcPr>
          <w:p w14:paraId="26866032" w14:textId="77777777" w:rsidR="00542A48" w:rsidRPr="00661043" w:rsidRDefault="00542A48" w:rsidP="00CF0A4C">
            <w:pPr>
              <w:pStyle w:val="Tableheadings"/>
              <w:cnfStyle w:val="000000000000" w:firstRow="0" w:lastRow="0" w:firstColumn="0" w:lastColumn="0" w:oddVBand="0" w:evenVBand="0" w:oddHBand="0" w:evenHBand="0" w:firstRowFirstColumn="0" w:firstRowLastColumn="0" w:lastRowFirstColumn="0" w:lastRowLastColumn="0"/>
            </w:pPr>
            <w:r w:rsidRPr="00661043">
              <w:t>Percentage of women in leadership</w:t>
            </w:r>
          </w:p>
        </w:tc>
        <w:tc>
          <w:tcPr>
            <w:tcW w:w="3413" w:type="dxa"/>
            <w:shd w:val="clear" w:color="auto" w:fill="FFFFFF" w:themeFill="background1"/>
          </w:tcPr>
          <w:p w14:paraId="0C2524FA" w14:textId="77777777" w:rsidR="00542A48" w:rsidRPr="00661043" w:rsidRDefault="00542A48" w:rsidP="00CF0A4C">
            <w:pPr>
              <w:pStyle w:val="Tableheadings"/>
              <w:cnfStyle w:val="000000000000" w:firstRow="0" w:lastRow="0" w:firstColumn="0" w:lastColumn="0" w:oddVBand="0" w:evenVBand="0" w:oddHBand="0" w:evenHBand="0" w:firstRowFirstColumn="0" w:firstRowLastColumn="0" w:lastRowFirstColumn="0" w:lastRowLastColumn="0"/>
            </w:pPr>
            <w:r w:rsidRPr="00661043">
              <w:t>42.0%</w:t>
            </w:r>
          </w:p>
        </w:tc>
      </w:tr>
      <w:tr w:rsidR="00542A48" w:rsidRPr="00661043" w14:paraId="6D2927B1" w14:textId="77777777" w:rsidTr="00542A48">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3386" w:type="dxa"/>
          </w:tcPr>
          <w:p w14:paraId="3D48326E" w14:textId="57F9180B" w:rsidR="00542A48" w:rsidRPr="00661043" w:rsidRDefault="00AE3231" w:rsidP="00CF0A4C">
            <w:r w:rsidRPr="00CF4C28">
              <w:t>Support for a diverse workforce</w:t>
            </w:r>
          </w:p>
        </w:tc>
        <w:tc>
          <w:tcPr>
            <w:tcW w:w="3387" w:type="dxa"/>
            <w:shd w:val="clear" w:color="auto" w:fill="FFFFFF" w:themeFill="background1"/>
          </w:tcPr>
          <w:p w14:paraId="15C3881F" w14:textId="77777777" w:rsidR="00542A48" w:rsidRPr="00661043" w:rsidRDefault="00542A48" w:rsidP="00CF0A4C">
            <w:pPr>
              <w:pStyle w:val="Tableheadings"/>
              <w:cnfStyle w:val="000000100000" w:firstRow="0" w:lastRow="0" w:firstColumn="0" w:lastColumn="0" w:oddVBand="0" w:evenVBand="0" w:oddHBand="1" w:evenHBand="0" w:firstRowFirstColumn="0" w:firstRowLastColumn="0" w:lastRowFirstColumn="0" w:lastRowLastColumn="0"/>
            </w:pPr>
            <w:r w:rsidRPr="00661043">
              <w:t>Percentage of people from non-English speaking backgrounds</w:t>
            </w:r>
          </w:p>
        </w:tc>
        <w:tc>
          <w:tcPr>
            <w:tcW w:w="3413" w:type="dxa"/>
            <w:shd w:val="clear" w:color="auto" w:fill="FFFFFF" w:themeFill="background1"/>
          </w:tcPr>
          <w:p w14:paraId="0949BECB" w14:textId="77777777" w:rsidR="00542A48" w:rsidRPr="00661043" w:rsidRDefault="00542A48" w:rsidP="00CF0A4C">
            <w:pPr>
              <w:pStyle w:val="Tableheadings"/>
              <w:cnfStyle w:val="000000100000" w:firstRow="0" w:lastRow="0" w:firstColumn="0" w:lastColumn="0" w:oddVBand="0" w:evenVBand="0" w:oddHBand="1" w:evenHBand="0" w:firstRowFirstColumn="0" w:firstRowLastColumn="0" w:lastRowFirstColumn="0" w:lastRowLastColumn="0"/>
              <w:rPr>
                <w:rFonts w:cs="Arial"/>
              </w:rPr>
            </w:pPr>
            <w:r w:rsidRPr="00661043">
              <w:t>7.8%</w:t>
            </w:r>
          </w:p>
        </w:tc>
      </w:tr>
      <w:tr w:rsidR="00542A48" w:rsidRPr="00661043" w14:paraId="3187CE4D" w14:textId="77777777" w:rsidTr="00542A48">
        <w:trPr>
          <w:trHeight w:val="560"/>
        </w:trPr>
        <w:tc>
          <w:tcPr>
            <w:cnfStyle w:val="001000000000" w:firstRow="0" w:lastRow="0" w:firstColumn="1" w:lastColumn="0" w:oddVBand="0" w:evenVBand="0" w:oddHBand="0" w:evenHBand="0" w:firstRowFirstColumn="0" w:firstRowLastColumn="0" w:lastRowFirstColumn="0" w:lastRowLastColumn="0"/>
            <w:tcW w:w="3386" w:type="dxa"/>
          </w:tcPr>
          <w:p w14:paraId="5EE4A91C" w14:textId="77777777" w:rsidR="00542A48" w:rsidRPr="00661043" w:rsidRDefault="00542A48" w:rsidP="00CF0A4C">
            <w:pPr>
              <w:rPr>
                <w:b w:val="0"/>
                <w:bCs w:val="0"/>
                <w:sz w:val="20"/>
                <w:szCs w:val="20"/>
              </w:rPr>
            </w:pPr>
            <w:r w:rsidRPr="00CF4C28">
              <w:t>Progressive and responsive systems</w:t>
            </w:r>
          </w:p>
        </w:tc>
        <w:tc>
          <w:tcPr>
            <w:tcW w:w="3387" w:type="dxa"/>
            <w:shd w:val="clear" w:color="auto" w:fill="FFFFFF" w:themeFill="background1"/>
          </w:tcPr>
          <w:p w14:paraId="05388219" w14:textId="77777777" w:rsidR="00542A48" w:rsidRPr="00661043" w:rsidRDefault="00542A48" w:rsidP="00CF0A4C">
            <w:pPr>
              <w:cnfStyle w:val="000000000000" w:firstRow="0" w:lastRow="0" w:firstColumn="0" w:lastColumn="0" w:oddVBand="0" w:evenVBand="0" w:oddHBand="0" w:evenHBand="0" w:firstRowFirstColumn="0" w:firstRowLastColumn="0" w:lastRowFirstColumn="0" w:lastRowLastColumn="0"/>
              <w:rPr>
                <w:color w:val="000000" w:themeColor="text1"/>
              </w:rPr>
            </w:pPr>
            <w:r w:rsidRPr="00661043">
              <w:t xml:space="preserve">Use of mobile devices by staff to access departmental services </w:t>
            </w:r>
          </w:p>
        </w:tc>
        <w:tc>
          <w:tcPr>
            <w:tcW w:w="3413" w:type="dxa"/>
            <w:shd w:val="clear" w:color="auto" w:fill="FFFFFF" w:themeFill="background1"/>
          </w:tcPr>
          <w:p w14:paraId="63E3B446" w14:textId="77777777" w:rsidR="00542A48" w:rsidRPr="00661043" w:rsidRDefault="00542A48" w:rsidP="00CF0A4C">
            <w:pPr>
              <w:pStyle w:val="Tableheadings"/>
              <w:cnfStyle w:val="000000000000" w:firstRow="0" w:lastRow="0" w:firstColumn="0" w:lastColumn="0" w:oddVBand="0" w:evenVBand="0" w:oddHBand="0" w:evenHBand="0" w:firstRowFirstColumn="0" w:firstRowLastColumn="0" w:lastRowFirstColumn="0" w:lastRowLastColumn="0"/>
              <w:rPr>
                <w:color w:val="000000" w:themeColor="text1"/>
              </w:rPr>
            </w:pPr>
            <w:r w:rsidRPr="00661043">
              <w:t>36%</w:t>
            </w:r>
          </w:p>
        </w:tc>
      </w:tr>
      <w:tr w:rsidR="00542A48" w:rsidRPr="00661043" w14:paraId="4332A4C1" w14:textId="77777777" w:rsidTr="00542A48">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386" w:type="dxa"/>
          </w:tcPr>
          <w:p w14:paraId="420236E4" w14:textId="34DD5093" w:rsidR="00542A48" w:rsidRPr="00661043" w:rsidRDefault="00AE3231" w:rsidP="00CF0A4C">
            <w:r w:rsidRPr="00CF4C28">
              <w:t>Progressive and responsive systems</w:t>
            </w:r>
          </w:p>
        </w:tc>
        <w:tc>
          <w:tcPr>
            <w:tcW w:w="3387" w:type="dxa"/>
            <w:shd w:val="clear" w:color="auto" w:fill="FFFFFF" w:themeFill="background1"/>
          </w:tcPr>
          <w:p w14:paraId="6A009747" w14:textId="709D2E67" w:rsidR="00542A48" w:rsidRPr="00661043" w:rsidRDefault="00542A48" w:rsidP="00CF0A4C">
            <w:pPr>
              <w:cnfStyle w:val="000000100000" w:firstRow="0" w:lastRow="0" w:firstColumn="0" w:lastColumn="0" w:oddVBand="0" w:evenVBand="0" w:oddHBand="1" w:evenHBand="0" w:firstRowFirstColumn="0" w:firstRowLastColumn="0" w:lastRowFirstColumn="0" w:lastRowLastColumn="0"/>
              <w:rPr>
                <w:color w:val="000000" w:themeColor="text1"/>
              </w:rPr>
            </w:pPr>
            <w:r w:rsidRPr="00661043">
              <w:t xml:space="preserve">Availability of online services to staff and clients </w:t>
            </w:r>
            <w:r>
              <w:t>(no. of services)</w:t>
            </w:r>
          </w:p>
        </w:tc>
        <w:tc>
          <w:tcPr>
            <w:tcW w:w="3413" w:type="dxa"/>
            <w:shd w:val="clear" w:color="auto" w:fill="FFFFFF" w:themeFill="background1"/>
          </w:tcPr>
          <w:p w14:paraId="33B85F74" w14:textId="1E3F3205" w:rsidR="00542A48" w:rsidRPr="00661043" w:rsidRDefault="00542A48" w:rsidP="00CF0A4C">
            <w:pPr>
              <w:pStyle w:val="Tableheadings"/>
              <w:cnfStyle w:val="000000100000" w:firstRow="0" w:lastRow="0" w:firstColumn="0" w:lastColumn="0" w:oddVBand="0" w:evenVBand="0" w:oddHBand="1" w:evenHBand="0" w:firstRowFirstColumn="0" w:firstRowLastColumn="0" w:lastRowFirstColumn="0" w:lastRowLastColumn="0"/>
              <w:rPr>
                <w:color w:val="000000" w:themeColor="text1"/>
              </w:rPr>
            </w:pPr>
            <w:r>
              <w:t>42</w:t>
            </w:r>
          </w:p>
        </w:tc>
      </w:tr>
      <w:tr w:rsidR="00542A48" w:rsidRPr="00661043" w14:paraId="3C92C378" w14:textId="77777777" w:rsidTr="00542A48">
        <w:trPr>
          <w:trHeight w:val="547"/>
        </w:trPr>
        <w:tc>
          <w:tcPr>
            <w:cnfStyle w:val="001000000000" w:firstRow="0" w:lastRow="0" w:firstColumn="1" w:lastColumn="0" w:oddVBand="0" w:evenVBand="0" w:oddHBand="0" w:evenHBand="0" w:firstRowFirstColumn="0" w:firstRowLastColumn="0" w:lastRowFirstColumn="0" w:lastRowLastColumn="0"/>
            <w:tcW w:w="3386" w:type="dxa"/>
          </w:tcPr>
          <w:p w14:paraId="08E76220" w14:textId="53AB11DD" w:rsidR="00542A48" w:rsidRPr="00661043" w:rsidRDefault="00AE3231" w:rsidP="00CF0A4C">
            <w:r w:rsidRPr="00CF4C28">
              <w:t>Progressive and responsive systems</w:t>
            </w:r>
          </w:p>
        </w:tc>
        <w:tc>
          <w:tcPr>
            <w:tcW w:w="3387" w:type="dxa"/>
            <w:shd w:val="clear" w:color="auto" w:fill="FFFFFF" w:themeFill="background1"/>
          </w:tcPr>
          <w:p w14:paraId="2FAC0938" w14:textId="77777777" w:rsidR="00542A48" w:rsidRPr="00661043" w:rsidRDefault="00542A48" w:rsidP="00CF0A4C">
            <w:pPr>
              <w:cnfStyle w:val="000000000000" w:firstRow="0" w:lastRow="0" w:firstColumn="0" w:lastColumn="0" w:oddVBand="0" w:evenVBand="0" w:oddHBand="0" w:evenHBand="0" w:firstRowFirstColumn="0" w:firstRowLastColumn="0" w:lastRowFirstColumn="0" w:lastRowLastColumn="0"/>
              <w:rPr>
                <w:color w:val="000000" w:themeColor="text1"/>
              </w:rPr>
            </w:pPr>
            <w:r w:rsidRPr="00661043">
              <w:t xml:space="preserve">Wi-Fi accessibility across departmental sites </w:t>
            </w:r>
          </w:p>
        </w:tc>
        <w:tc>
          <w:tcPr>
            <w:tcW w:w="3413" w:type="dxa"/>
            <w:shd w:val="clear" w:color="auto" w:fill="FFFFFF" w:themeFill="background1"/>
          </w:tcPr>
          <w:p w14:paraId="75EA6788" w14:textId="77777777" w:rsidR="00542A48" w:rsidRPr="00661043" w:rsidRDefault="00542A48" w:rsidP="00CF0A4C">
            <w:pPr>
              <w:pStyle w:val="Tableheadings"/>
              <w:cnfStyle w:val="000000000000" w:firstRow="0" w:lastRow="0" w:firstColumn="0" w:lastColumn="0" w:oddVBand="0" w:evenVBand="0" w:oddHBand="0" w:evenHBand="0" w:firstRowFirstColumn="0" w:firstRowLastColumn="0" w:lastRowFirstColumn="0" w:lastRowLastColumn="0"/>
              <w:rPr>
                <w:color w:val="000000" w:themeColor="text1"/>
              </w:rPr>
            </w:pPr>
            <w:r w:rsidRPr="00661043">
              <w:t>90%</w:t>
            </w:r>
          </w:p>
        </w:tc>
      </w:tr>
    </w:tbl>
    <w:p w14:paraId="65619E32" w14:textId="77777777" w:rsidR="005C231A" w:rsidRPr="003648EA" w:rsidRDefault="005C231A" w:rsidP="00CF0A4C"/>
    <w:p w14:paraId="3048B05D" w14:textId="77777777" w:rsidR="00C37BB7" w:rsidRPr="00690E99" w:rsidRDefault="00C37BB7" w:rsidP="00CF0A4C">
      <w:r w:rsidRPr="00690E99">
        <w:br w:type="page"/>
      </w:r>
    </w:p>
    <w:p w14:paraId="3180EFEC" w14:textId="77777777" w:rsidR="00E83F40" w:rsidRDefault="00E83F40" w:rsidP="002F0A6A">
      <w:pPr>
        <w:pStyle w:val="Title"/>
        <w:pBdr>
          <w:top w:val="none" w:sz="0" w:space="0" w:color="auto"/>
          <w:bottom w:val="none" w:sz="0" w:space="0" w:color="auto"/>
        </w:pBdr>
      </w:pPr>
      <w:r>
        <w:lastRenderedPageBreak/>
        <w:t>Part 3</w:t>
      </w:r>
    </w:p>
    <w:p w14:paraId="2E9BD378" w14:textId="20597D9C" w:rsidR="00566ED7" w:rsidRDefault="00566ED7" w:rsidP="005D3ADE">
      <w:pPr>
        <w:pStyle w:val="Heading1"/>
      </w:pPr>
      <w:bookmarkStart w:id="25" w:name="_Toc494984624"/>
      <w:r>
        <w:t>Our Service Areas</w:t>
      </w:r>
      <w:r w:rsidR="00FC3435">
        <w:t xml:space="preserve"> and Commercialised Business Units</w:t>
      </w:r>
      <w:bookmarkEnd w:id="25"/>
    </w:p>
    <w:p w14:paraId="6180190D" w14:textId="59B41D39" w:rsidR="0024604E" w:rsidRPr="006671E3" w:rsidRDefault="005B5A45" w:rsidP="00CF0A4C">
      <w:r w:rsidRPr="00023609">
        <w:t>The performance information of t</w:t>
      </w:r>
      <w:r w:rsidRPr="00566241">
        <w:t>h</w:t>
      </w:r>
      <w:r w:rsidRPr="006671E3">
        <w:t>e Department of Housing and Public Works is published in the annual Service Delivery Statement</w:t>
      </w:r>
      <w:r w:rsidR="002F5BDD">
        <w:t>s</w:t>
      </w:r>
      <w:r w:rsidR="00EC45BF" w:rsidRPr="006671E3">
        <w:t xml:space="preserve"> and </w:t>
      </w:r>
      <w:r w:rsidRPr="006671E3">
        <w:t xml:space="preserve">presented </w:t>
      </w:r>
      <w:r w:rsidR="00197F2A">
        <w:t>by</w:t>
      </w:r>
      <w:r w:rsidRPr="006671E3">
        <w:t xml:space="preserve"> </w:t>
      </w:r>
      <w:r w:rsidR="00EC45BF" w:rsidRPr="006671E3">
        <w:t>service areas. These service area</w:t>
      </w:r>
      <w:r w:rsidR="006671E3" w:rsidRPr="006671E3">
        <w:t>s</w:t>
      </w:r>
      <w:r w:rsidRPr="006671E3">
        <w:t xml:space="preserve"> </w:t>
      </w:r>
      <w:r w:rsidR="00EE1B87" w:rsidRPr="006671E3">
        <w:t>align to</w:t>
      </w:r>
      <w:r w:rsidRPr="006671E3">
        <w:t xml:space="preserve"> the broad t</w:t>
      </w:r>
      <w:r w:rsidR="00EE1B87" w:rsidRPr="006671E3">
        <w:t xml:space="preserve">ypes of services delivered by our department. </w:t>
      </w:r>
      <w:r w:rsidRPr="006671E3">
        <w:t xml:space="preserve">Service areas have defined objectives. </w:t>
      </w:r>
    </w:p>
    <w:p w14:paraId="4B2FBB56" w14:textId="1C3C46EF" w:rsidR="0024604E" w:rsidRPr="006671E3" w:rsidRDefault="00EE1B87" w:rsidP="00CF0A4C">
      <w:r w:rsidRPr="006671E3">
        <w:t xml:space="preserve">Our </w:t>
      </w:r>
      <w:r w:rsidR="00C81834">
        <w:t>s</w:t>
      </w:r>
      <w:r w:rsidRPr="00023609">
        <w:t>er</w:t>
      </w:r>
      <w:r w:rsidRPr="00566241">
        <w:t>v</w:t>
      </w:r>
      <w:r w:rsidRPr="006671E3">
        <w:t>ice areas are:</w:t>
      </w:r>
    </w:p>
    <w:p w14:paraId="6F0669AF" w14:textId="7C522DF8" w:rsidR="00EE1B87" w:rsidRPr="006671E3" w:rsidRDefault="00EE1B87" w:rsidP="00096C6C">
      <w:pPr>
        <w:pStyle w:val="Bullets"/>
      </w:pPr>
      <w:r w:rsidRPr="006671E3">
        <w:t>Housing and Homelessness Services</w:t>
      </w:r>
    </w:p>
    <w:p w14:paraId="152B3A83" w14:textId="3B5EF89B" w:rsidR="00EE1B87" w:rsidRPr="0032381F" w:rsidRDefault="00EE1B87" w:rsidP="00096C6C">
      <w:pPr>
        <w:pStyle w:val="Bullets"/>
      </w:pPr>
      <w:r w:rsidRPr="0032381F">
        <w:t>Government Accommodation and Building Policy Services</w:t>
      </w:r>
    </w:p>
    <w:p w14:paraId="6E240656" w14:textId="231C6823" w:rsidR="00EE1B87" w:rsidRPr="00023609" w:rsidRDefault="00EE1B87" w:rsidP="00096C6C">
      <w:pPr>
        <w:pStyle w:val="Bullets"/>
      </w:pPr>
      <w:r w:rsidRPr="0032381F">
        <w:t>Pro</w:t>
      </w:r>
      <w:r w:rsidR="00744125" w:rsidRPr="0032381F">
        <w:t>curement Services</w:t>
      </w:r>
    </w:p>
    <w:p w14:paraId="6CC564A6" w14:textId="77777777" w:rsidR="00C81834" w:rsidRDefault="00C81834" w:rsidP="00CF0A4C"/>
    <w:p w14:paraId="44349413" w14:textId="6DD1FC4E" w:rsidR="001871FA" w:rsidRPr="0032381F" w:rsidRDefault="001871FA" w:rsidP="00CF0A4C">
      <w:r w:rsidRPr="00023609">
        <w:t>Ou</w:t>
      </w:r>
      <w:r w:rsidRPr="00566241">
        <w:t>r</w:t>
      </w:r>
      <w:r w:rsidRPr="006671E3">
        <w:t xml:space="preserve"> department also delivers services </w:t>
      </w:r>
      <w:r w:rsidR="006C6FC2" w:rsidRPr="006671E3">
        <w:t>through our two commercialised business units</w:t>
      </w:r>
      <w:r w:rsidR="00CB6C56">
        <w:t>:</w:t>
      </w:r>
    </w:p>
    <w:p w14:paraId="0C31DB96" w14:textId="3A37DCDA" w:rsidR="008669C9" w:rsidRPr="00566241" w:rsidRDefault="008669C9" w:rsidP="00096C6C">
      <w:pPr>
        <w:pStyle w:val="Bullets"/>
      </w:pPr>
      <w:r w:rsidRPr="00023609">
        <w:t xml:space="preserve">Building and Asset Services </w:t>
      </w:r>
    </w:p>
    <w:p w14:paraId="795E3BF6" w14:textId="73D461D3" w:rsidR="00744125" w:rsidRPr="00023609" w:rsidRDefault="008669C9" w:rsidP="00096C6C">
      <w:pPr>
        <w:pStyle w:val="Bullets"/>
      </w:pPr>
      <w:r w:rsidRPr="0032381F">
        <w:t>QFleet</w:t>
      </w:r>
      <w:r w:rsidRPr="5E3A9904">
        <w:t xml:space="preserve"> </w:t>
      </w:r>
    </w:p>
    <w:p w14:paraId="367A4FE4" w14:textId="77777777" w:rsidR="0024604E" w:rsidRPr="006671E3" w:rsidRDefault="0024604E" w:rsidP="00CF0A4C"/>
    <w:p w14:paraId="72B4A34B" w14:textId="52E22C62" w:rsidR="006C6FC2" w:rsidRPr="00023609" w:rsidRDefault="00EF58EC" w:rsidP="00CF0A4C">
      <w:r>
        <w:t xml:space="preserve">The following pages </w:t>
      </w:r>
      <w:r w:rsidR="00E21499">
        <w:t>highlight</w:t>
      </w:r>
      <w:r>
        <w:t xml:space="preserve"> our achievements</w:t>
      </w:r>
      <w:r w:rsidR="00340A64">
        <w:t xml:space="preserve"> under each</w:t>
      </w:r>
      <w:r w:rsidR="00F22577">
        <w:t xml:space="preserve"> </w:t>
      </w:r>
      <w:r w:rsidR="00C81834">
        <w:t>s</w:t>
      </w:r>
      <w:r w:rsidR="00F22577">
        <w:t xml:space="preserve">ervice </w:t>
      </w:r>
      <w:r w:rsidR="00C81834">
        <w:t>a</w:t>
      </w:r>
      <w:r w:rsidR="00F22577">
        <w:t>rea a</w:t>
      </w:r>
      <w:r w:rsidR="00E21499">
        <w:t xml:space="preserve">nd </w:t>
      </w:r>
      <w:r w:rsidR="00C81834">
        <w:t>c</w:t>
      </w:r>
      <w:r w:rsidR="00E21499">
        <w:t>ommercialised business</w:t>
      </w:r>
      <w:r w:rsidR="0036556D">
        <w:t xml:space="preserve"> unit</w:t>
      </w:r>
      <w:r w:rsidR="00E21499">
        <w:t>.</w:t>
      </w:r>
    </w:p>
    <w:p w14:paraId="367544F8" w14:textId="2BDAA8AA" w:rsidR="00566ED7" w:rsidRPr="00023609" w:rsidRDefault="00566ED7" w:rsidP="00CF0A4C"/>
    <w:p w14:paraId="6435374A" w14:textId="434CA02A" w:rsidR="00D65322" w:rsidRPr="0004270E" w:rsidRDefault="00D65322" w:rsidP="0004270E">
      <w:pPr>
        <w:pStyle w:val="Heading2"/>
      </w:pPr>
      <w:bookmarkStart w:id="26" w:name="_Toc494984625"/>
      <w:r w:rsidRPr="0004270E">
        <w:t>Housing and Homelessness Services</w:t>
      </w:r>
      <w:bookmarkEnd w:id="26"/>
    </w:p>
    <w:p w14:paraId="68970113" w14:textId="0EF5627A" w:rsidR="00D65322" w:rsidRPr="00216984" w:rsidRDefault="00D65322" w:rsidP="00792F33">
      <w:pPr>
        <w:pStyle w:val="Heading3"/>
      </w:pPr>
      <w:r w:rsidRPr="00CB45B4">
        <w:t>Our Objective</w:t>
      </w:r>
    </w:p>
    <w:p w14:paraId="04112506" w14:textId="77777777" w:rsidR="00D65322" w:rsidRPr="00DA6B9A" w:rsidRDefault="00D65322" w:rsidP="00CF0A4C">
      <w:r w:rsidRPr="00DA6B9A">
        <w:t>To deliver quality frontline human services by providing responsible and integrated housing and homelessness support services to vulnerable Queenslanders.</w:t>
      </w:r>
    </w:p>
    <w:p w14:paraId="20C618F8" w14:textId="32B07512" w:rsidR="00D65322" w:rsidRPr="00216984" w:rsidRDefault="00D65322" w:rsidP="00792F33">
      <w:pPr>
        <w:pStyle w:val="Heading3"/>
      </w:pPr>
      <w:r w:rsidRPr="00CB45B4">
        <w:t xml:space="preserve">What </w:t>
      </w:r>
      <w:r w:rsidR="00D94D21">
        <w:t>W</w:t>
      </w:r>
      <w:r w:rsidRPr="00CB45B4">
        <w:t xml:space="preserve">e </w:t>
      </w:r>
      <w:r w:rsidR="00D94D21">
        <w:t>D</w:t>
      </w:r>
      <w:r w:rsidRPr="00CB45B4">
        <w:t>o</w:t>
      </w:r>
    </w:p>
    <w:p w14:paraId="6AB8A800" w14:textId="77777777" w:rsidR="00D65322" w:rsidRPr="00DA6B9A" w:rsidRDefault="00D65322" w:rsidP="00CF0A4C">
      <w:r w:rsidRPr="00DA6B9A">
        <w:t xml:space="preserve">Housing Services provides housing assistance and homelessness support services to Queenslanders most in need, for the duration of their need, through a mix of direct delivery and arrangements with funded service providers. This includes remote Aboriginal and Torres Strait Islander housing, social and private housing assistance, homelessness support services and crisis accommodation. </w:t>
      </w:r>
    </w:p>
    <w:p w14:paraId="4911F3E6" w14:textId="0A271391" w:rsidR="00D65322" w:rsidRDefault="00D65322" w:rsidP="00CF0A4C">
      <w:r w:rsidRPr="00DA6B9A">
        <w:t>Housing Services also includes the Office of the Registrar which oversees the National Regulatory System for Community Housing (NRSCH) in Queensland. The NRSCH is a national system for registration, monitoring and regulation of community housing providers. It provides uniform legislation that regulates community housing organisations with the aim of growing the capability and capacity of these organisations. The Registrar operates independently from the funding arm of Housing Services.</w:t>
      </w:r>
    </w:p>
    <w:p w14:paraId="18265681" w14:textId="77777777" w:rsidR="00DC4782" w:rsidRPr="00DA6B9A" w:rsidRDefault="00DC4782" w:rsidP="00CF0A4C"/>
    <w:p w14:paraId="137B45C9" w14:textId="77777777" w:rsidR="00DC4782" w:rsidRPr="004063EC" w:rsidRDefault="00DC4782" w:rsidP="00DC4782">
      <w:pPr>
        <w:rPr>
          <w:rFonts w:asciiTheme="minorHAnsi" w:hAnsiTheme="minorHAnsi"/>
          <w:b/>
        </w:rPr>
      </w:pPr>
      <w:r w:rsidRPr="006D3EDF">
        <w:rPr>
          <w:b/>
        </w:rPr>
        <w:lastRenderedPageBreak/>
        <w:t>Building a better housing future for all Queenslanders</w:t>
      </w:r>
    </w:p>
    <w:p w14:paraId="7B30E943" w14:textId="77777777" w:rsidR="00DC4782" w:rsidRPr="004A1E99" w:rsidRDefault="00DC4782" w:rsidP="00DC4782">
      <w:r w:rsidRPr="004A1E99">
        <w:t xml:space="preserve">The </w:t>
      </w:r>
      <w:r w:rsidRPr="004A1E99">
        <w:rPr>
          <w:i/>
        </w:rPr>
        <w:t xml:space="preserve">Queensland Housing Strategy 2017-2027 </w:t>
      </w:r>
      <w:r w:rsidRPr="004A1E99">
        <w:t>is a 10-year framework to deliver better housing pathways, drive key reforms, and targeted investment to provide every Queenslander with the opportunity to access a safe, secure and affordable home that meets their needs and enables participation in social and economic activity.</w:t>
      </w:r>
    </w:p>
    <w:p w14:paraId="1E71A6DA" w14:textId="77777777" w:rsidR="00DC4782" w:rsidRPr="004A1E99" w:rsidRDefault="00DC4782" w:rsidP="00DC4782">
      <w:r w:rsidRPr="004A1E99">
        <w:t>The Strategy was released by the Queensland Premier on 12 June 2017, and is backed by a $1.8 billion investment to deliver more social and affordable housing, and transform the way housing and homelessness services are delivered to better support people in need.</w:t>
      </w:r>
    </w:p>
    <w:p w14:paraId="091AC840" w14:textId="77777777" w:rsidR="00DC4782" w:rsidRPr="004A1E99" w:rsidRDefault="00DC4782" w:rsidP="00DC4782">
      <w:r w:rsidRPr="004A1E99">
        <w:t>The Housing Construction Jobs Program is a core initiative of the Strategy, redefining how the Queensland Government will deliver housing to support urban renewal, generate new jobs, provide affordable housing, and drive innovative housing design that responds to contemporary needs.</w:t>
      </w:r>
    </w:p>
    <w:p w14:paraId="6380E490" w14:textId="77777777" w:rsidR="00DC4782" w:rsidRPr="004A1E99" w:rsidRDefault="00DC4782" w:rsidP="00DC4782">
      <w:r w:rsidRPr="004A1E99">
        <w:t>The Strategy also ensures those most in need are supported by a safety net of targeted early interventions, flexible packages of support, supportive social housing and genuine wraparound services. Young people, women and children escaping domestic and family violence, and people at risk of homelessness, in particular, will be able to access more early intervention and prevention services before they reach crisis point.</w:t>
      </w:r>
    </w:p>
    <w:p w14:paraId="62CD53AF" w14:textId="77777777" w:rsidR="00DC4782" w:rsidRPr="004A1E99" w:rsidRDefault="00DC4782" w:rsidP="00DC4782">
      <w:r w:rsidRPr="004A1E99">
        <w:t xml:space="preserve">The housing and homelessness services reforms outlined in the Strategy will be driven by a more person-centred approach to service delivery. This will involve collaborating with people to identify what they need and want, the resources and skills they already possess, and the additional services they need to achieve their housing aspirations. </w:t>
      </w:r>
    </w:p>
    <w:p w14:paraId="7A104593" w14:textId="77777777" w:rsidR="00DC4782" w:rsidRPr="004A1E99" w:rsidRDefault="00DC4782" w:rsidP="00DC4782">
      <w:r w:rsidRPr="004A1E99">
        <w:t>The modernisation and better integration of homelessness, housing and human services will deliver coordinated support that enables people to meet their needs, and progress through the housing continuum, from homelessness through to home ownership.</w:t>
      </w:r>
    </w:p>
    <w:p w14:paraId="5D4A12E9" w14:textId="77777777" w:rsidR="00DC4782" w:rsidRDefault="00DC4782" w:rsidP="00DC4782">
      <w:r w:rsidRPr="004A1E99">
        <w:t xml:space="preserve">The </w:t>
      </w:r>
      <w:r w:rsidRPr="004A1E99">
        <w:rPr>
          <w:i/>
        </w:rPr>
        <w:t>Queensland Housing Strategy 2017-2020 Action Plan</w:t>
      </w:r>
      <w:r w:rsidRPr="004A1E99">
        <w:t xml:space="preserve"> documents the specific steps the department will take toward achieving the 10-year vision and sets out clear priorities for implementation. These actions set the foundations for longer term reform, and will guide and inform the development of subsequent action plans.</w:t>
      </w:r>
    </w:p>
    <w:p w14:paraId="7DC44DE1" w14:textId="77777777" w:rsidR="00DC4782" w:rsidRPr="006D3EDF" w:rsidRDefault="00DC4782" w:rsidP="00DC4782">
      <w:pPr>
        <w:rPr>
          <w:color w:val="000000" w:themeColor="text1"/>
        </w:rPr>
      </w:pPr>
      <w:r>
        <w:rPr>
          <w:color w:val="000000" w:themeColor="text1"/>
        </w:rPr>
        <w:t>IMAGE: GROUP OF PEOPLE WALKING PAST ANOTHER SMALL GROUP OF PEOPLE OF VARIOUS AGES</w:t>
      </w:r>
    </w:p>
    <w:p w14:paraId="74A16C30" w14:textId="06CBFFAF" w:rsidR="008B7B81" w:rsidRDefault="008B7B81" w:rsidP="00CF0A4C">
      <w:pPr>
        <w:sectPr w:rsidR="008B7B81" w:rsidSect="008B7B81">
          <w:type w:val="continuous"/>
          <w:pgSz w:w="11906" w:h="16838"/>
          <w:pgMar w:top="1440" w:right="1021" w:bottom="1440" w:left="1021" w:header="709" w:footer="709" w:gutter="0"/>
          <w:cols w:space="397"/>
          <w:docGrid w:linePitch="360"/>
        </w:sectPr>
      </w:pPr>
    </w:p>
    <w:p w14:paraId="66D7C2C4" w14:textId="77777777" w:rsidR="00551539" w:rsidRDefault="00551539" w:rsidP="00CF0A4C">
      <w:pPr>
        <w:sectPr w:rsidR="00551539" w:rsidSect="00FF3DE7">
          <w:type w:val="continuous"/>
          <w:pgSz w:w="11906" w:h="16838"/>
          <w:pgMar w:top="1440" w:right="1021" w:bottom="1440" w:left="1021" w:header="709" w:footer="709" w:gutter="0"/>
          <w:cols w:num="2" w:space="397"/>
          <w:docGrid w:linePitch="360"/>
        </w:sectPr>
      </w:pPr>
    </w:p>
    <w:p w14:paraId="622E73DC" w14:textId="392B584B" w:rsidR="00D65322" w:rsidRPr="004F3CFF" w:rsidRDefault="00D65322" w:rsidP="00792F33">
      <w:pPr>
        <w:pStyle w:val="Heading3"/>
      </w:pPr>
      <w:r>
        <w:lastRenderedPageBreak/>
        <w:t>Our A</w:t>
      </w:r>
      <w:r w:rsidRPr="004F3CFF">
        <w:t>chievements</w:t>
      </w:r>
    </w:p>
    <w:p w14:paraId="05B91B59" w14:textId="53431E80" w:rsidR="00717976" w:rsidRPr="006A75F2" w:rsidRDefault="00717976" w:rsidP="00792F33">
      <w:pPr>
        <w:pStyle w:val="ARHeading4"/>
      </w:pPr>
      <w:bookmarkStart w:id="27" w:name="_Hlk487631295"/>
      <w:r w:rsidRPr="006A75F2">
        <w:t>Improving Housing Assistance</w:t>
      </w:r>
    </w:p>
    <w:p w14:paraId="1F0F877D" w14:textId="711C91D8" w:rsidR="00CD6005" w:rsidRPr="00C00F99" w:rsidRDefault="007C289D" w:rsidP="00CF0A4C">
      <w:r>
        <w:t xml:space="preserve">In </w:t>
      </w:r>
      <w:r w:rsidR="000C39C3">
        <w:t>2016–17</w:t>
      </w:r>
      <w:r w:rsidR="00924AD9">
        <w:t>, we</w:t>
      </w:r>
      <w:r w:rsidR="00524AAD">
        <w:t>:</w:t>
      </w:r>
    </w:p>
    <w:p w14:paraId="6C131A42" w14:textId="6965296E" w:rsidR="00F06AFC" w:rsidRDefault="00F06AFC" w:rsidP="00096C6C">
      <w:pPr>
        <w:pStyle w:val="Bullets"/>
      </w:pPr>
      <w:r>
        <w:t>released</w:t>
      </w:r>
      <w:r w:rsidRPr="00C00F99">
        <w:t xml:space="preserve"> the </w:t>
      </w:r>
      <w:r w:rsidRPr="007B7085">
        <w:rPr>
          <w:i/>
        </w:rPr>
        <w:t>Queensland Housing Strategy 2017</w:t>
      </w:r>
      <w:r w:rsidRPr="007B64A6">
        <w:rPr>
          <w:i/>
        </w:rPr>
        <w:t>–</w:t>
      </w:r>
      <w:r w:rsidRPr="007B7085">
        <w:rPr>
          <w:i/>
        </w:rPr>
        <w:t>2027</w:t>
      </w:r>
      <w:r w:rsidRPr="00C00F99">
        <w:t xml:space="preserve"> to shape the strategic direction of housing assistance, homelessness services, housing affordability and specific issues affecting Aboriginal and Torres Strait Islander peoples</w:t>
      </w:r>
      <w:r>
        <w:t>.</w:t>
      </w:r>
    </w:p>
    <w:p w14:paraId="7EF237B4" w14:textId="154E5BFA" w:rsidR="0040774D" w:rsidRPr="0040774D" w:rsidRDefault="00A8474B" w:rsidP="00096C6C">
      <w:pPr>
        <w:pStyle w:val="Bullets"/>
      </w:pPr>
      <w:r>
        <w:t>a</w:t>
      </w:r>
      <w:r w:rsidR="00123A3A">
        <w:t>ssisted</w:t>
      </w:r>
      <w:r w:rsidR="00A04DFD" w:rsidRPr="00A04DFD">
        <w:t xml:space="preserve"> </w:t>
      </w:r>
      <w:r w:rsidR="00A04DFD">
        <w:t xml:space="preserve">71,992 low-income households with social rental housing, including </w:t>
      </w:r>
      <w:r w:rsidR="00226E70">
        <w:t>7,197</w:t>
      </w:r>
      <w:r w:rsidR="00123A3A">
        <w:t xml:space="preserve"> new households</w:t>
      </w:r>
    </w:p>
    <w:p w14:paraId="6FFE0034" w14:textId="7BFE85A6" w:rsidR="0088374C" w:rsidRPr="00DA357C" w:rsidRDefault="0088374C" w:rsidP="00096C6C">
      <w:pPr>
        <w:pStyle w:val="Bullets"/>
      </w:pPr>
      <w:r w:rsidRPr="00C00F99">
        <w:t>delivered 562 (482 completions, 80 purchases) new social housing dwellings</w:t>
      </w:r>
      <w:r w:rsidRPr="007C4BCA">
        <w:t xml:space="preserve">, 656 construction commencements and completed 10,109 upgrades to existing dwellings to maximise asset life or improve amenities to meet specific tenant needs such as disability modifications </w:t>
      </w:r>
    </w:p>
    <w:p w14:paraId="7E5AC026" w14:textId="6E5A25AA" w:rsidR="0088374C" w:rsidRPr="00A331FA" w:rsidRDefault="0088374C" w:rsidP="00096C6C">
      <w:pPr>
        <w:pStyle w:val="Bullets"/>
      </w:pPr>
      <w:r w:rsidRPr="0046370F">
        <w:t>c</w:t>
      </w:r>
      <w:r w:rsidRPr="00A331FA">
        <w:t xml:space="preserve">ommenced </w:t>
      </w:r>
      <w:r>
        <w:t xml:space="preserve">the </w:t>
      </w:r>
      <w:r w:rsidRPr="00A331FA">
        <w:t>roll out of smoke alarm upgrades to 71,800 social housing dwellings to improve tenant safety</w:t>
      </w:r>
    </w:p>
    <w:p w14:paraId="4DD15C46" w14:textId="27DE8A1F" w:rsidR="0088374C" w:rsidRDefault="0088374C" w:rsidP="00D675BC">
      <w:pPr>
        <w:pStyle w:val="Bullets"/>
      </w:pPr>
      <w:r w:rsidRPr="00A331FA">
        <w:t>partnered with Churches of Christ to deliver a 40-apartment development in Acacia Ridge</w:t>
      </w:r>
      <w:r w:rsidR="003F5F07">
        <w:t>,</w:t>
      </w:r>
      <w:r w:rsidRPr="00A331FA">
        <w:t xml:space="preserve"> targeted at seniors aged over 55 years and people with a disability</w:t>
      </w:r>
    </w:p>
    <w:p w14:paraId="4688669D" w14:textId="77777777" w:rsidR="00DA357C" w:rsidRPr="00C00F99" w:rsidRDefault="00DA357C" w:rsidP="00E05961">
      <w:pPr>
        <w:pStyle w:val="Bullets"/>
      </w:pPr>
      <w:r w:rsidRPr="00E751CD">
        <w:t>commenced a 12-month trial of a tenant hub at Kingston, to test a place-based approach to tenancy engagement to deliver improved services, a safer neighbourhood and support tenants to build pathways to a better future</w:t>
      </w:r>
    </w:p>
    <w:p w14:paraId="3A4DE854" w14:textId="1363EE69" w:rsidR="00BB27E1" w:rsidRPr="00C229A8" w:rsidRDefault="00FA2D2D">
      <w:pPr>
        <w:pStyle w:val="Bullets"/>
      </w:pPr>
      <w:r>
        <w:t xml:space="preserve">continued to </w:t>
      </w:r>
      <w:r w:rsidR="00BB27E1" w:rsidRPr="00DA357C">
        <w:t>implement a Mental Health Demonstration Project to test a new preventative and early intervention, collaborative approach to integrated housing, health and human service delivery. This will better enable people who are experiencing mental illness, mental health issues or relat</w:t>
      </w:r>
      <w:r w:rsidR="00BB27E1" w:rsidRPr="008A665C">
        <w:t>ed complex needs to sustain their social housing tenancies</w:t>
      </w:r>
    </w:p>
    <w:p w14:paraId="59D69EA7" w14:textId="49CD9600" w:rsidR="00BB27E1" w:rsidRPr="00B46F28" w:rsidRDefault="00BB27E1">
      <w:pPr>
        <w:pStyle w:val="Bullets"/>
      </w:pPr>
      <w:r w:rsidRPr="00935EEC">
        <w:t xml:space="preserve">implemented a Tenant Engagement </w:t>
      </w:r>
      <w:r w:rsidR="00BF6F1C">
        <w:t>P</w:t>
      </w:r>
      <w:r w:rsidRPr="00935EEC">
        <w:t>rogram that creates opportunities for public housing tenants to engage with the department and their neighbourhoods as well as build</w:t>
      </w:r>
      <w:r w:rsidR="009A37DD">
        <w:t>s</w:t>
      </w:r>
      <w:r w:rsidRPr="00935EEC">
        <w:t xml:space="preserve"> confidence and new skills that may improve other life outcomes, including better health, access to education, employment an</w:t>
      </w:r>
      <w:r w:rsidRPr="00B46F28">
        <w:t>d greater community connection</w:t>
      </w:r>
    </w:p>
    <w:p w14:paraId="37AC01C0" w14:textId="77777777" w:rsidR="00AE0018" w:rsidRPr="00F54889" w:rsidRDefault="00AE0018">
      <w:pPr>
        <w:pStyle w:val="Bullets"/>
      </w:pPr>
      <w:r w:rsidRPr="00F54889">
        <w:t xml:space="preserve">investigated options for the establishment of a Housing and Homelessness Service Hub in Toowoomba to test an integrated service delivery model, co-locating government, non-government housing, homelessness and other support services, aimed at ensuring clients have their housing and support needs addressed in a cohesive way </w:t>
      </w:r>
    </w:p>
    <w:p w14:paraId="06C6A629" w14:textId="5F1A75F1" w:rsidR="00717976" w:rsidRPr="00A331FA" w:rsidRDefault="00717976">
      <w:pPr>
        <w:pStyle w:val="Bullets"/>
      </w:pPr>
      <w:r w:rsidRPr="00A331FA">
        <w:t>worked with the Department of Communities, Child Safety and Disability Services and the National Disability Insurance Agency</w:t>
      </w:r>
      <w:r w:rsidR="00D034B1">
        <w:t>,</w:t>
      </w:r>
      <w:r w:rsidRPr="00A331FA">
        <w:t xml:space="preserve"> to ensure a seamless transition to the National Disability Insurance Scheme for housing and homelessness services. This includes working to improve access to existing housing and increase the supply of accessible and affordable housing that responds to the n</w:t>
      </w:r>
      <w:r w:rsidRPr="0046370F">
        <w:t xml:space="preserve">eeds of people with </w:t>
      </w:r>
      <w:r w:rsidR="003573F0">
        <w:t xml:space="preserve">a </w:t>
      </w:r>
      <w:r w:rsidRPr="0046370F">
        <w:t>disability</w:t>
      </w:r>
      <w:r w:rsidRPr="690957E2">
        <w:t xml:space="preserve"> </w:t>
      </w:r>
    </w:p>
    <w:p w14:paraId="0DE12360" w14:textId="31940F71" w:rsidR="00717976" w:rsidRPr="00A331FA" w:rsidRDefault="00717976">
      <w:pPr>
        <w:pStyle w:val="Bullets"/>
      </w:pPr>
      <w:r w:rsidRPr="0046370F">
        <w:t>d</w:t>
      </w:r>
      <w:r w:rsidRPr="00A331FA">
        <w:t xml:space="preserve">eveloped an action plan to </w:t>
      </w:r>
      <w:r w:rsidR="003573F0">
        <w:t xml:space="preserve">better </w:t>
      </w:r>
      <w:r w:rsidRPr="00A331FA">
        <w:t>position housing assistance services on the Gold Coast in response to increased demand for housing assistance</w:t>
      </w:r>
      <w:r w:rsidR="003573F0">
        <w:t>,</w:t>
      </w:r>
      <w:r w:rsidRPr="00A331FA">
        <w:t xml:space="preserve"> anticipated due to the Commonwealth Games</w:t>
      </w:r>
    </w:p>
    <w:p w14:paraId="244C9F5A" w14:textId="46631EB6" w:rsidR="00717976" w:rsidRPr="00A331FA" w:rsidRDefault="00717976">
      <w:pPr>
        <w:pStyle w:val="Bullets"/>
      </w:pPr>
      <w:r w:rsidRPr="00A331FA">
        <w:t>supported whole</w:t>
      </w:r>
      <w:r w:rsidR="002479DC">
        <w:t>-</w:t>
      </w:r>
      <w:r w:rsidRPr="00A331FA">
        <w:t>of</w:t>
      </w:r>
      <w:r w:rsidR="002479DC">
        <w:t>-</w:t>
      </w:r>
      <w:r w:rsidRPr="00A331FA">
        <w:t>government forums to progress an integrated child and family support system which contribut</w:t>
      </w:r>
      <w:r w:rsidR="003F551D">
        <w:t>es</w:t>
      </w:r>
      <w:r w:rsidRPr="00A331FA">
        <w:t xml:space="preserve"> to reforms of the Queensland Child Protection Comm</w:t>
      </w:r>
      <w:r w:rsidRPr="0046370F">
        <w:t>ission of Inquiry final report</w:t>
      </w:r>
    </w:p>
    <w:p w14:paraId="043F61FB" w14:textId="77777777" w:rsidR="00717976" w:rsidRPr="00A331FA" w:rsidRDefault="00717976">
      <w:pPr>
        <w:pStyle w:val="Bullets"/>
      </w:pPr>
      <w:r w:rsidRPr="00A331FA">
        <w:t>contributed to the Better Planning for Queensland Reform, led by the Department of Infrastructure, Local Government and Planning, to facilitate improved housing affordability and diversity outcomes in communities across Queensland</w:t>
      </w:r>
    </w:p>
    <w:p w14:paraId="2F883E92" w14:textId="77777777" w:rsidR="0078422B" w:rsidRPr="00D7026D" w:rsidRDefault="00717976">
      <w:pPr>
        <w:pStyle w:val="Bullets"/>
        <w:rPr>
          <w:b/>
          <w:bCs/>
        </w:rPr>
      </w:pPr>
      <w:r w:rsidRPr="00A331FA">
        <w:t>reviewed the public housing rent policy to ensure fair</w:t>
      </w:r>
      <w:r w:rsidR="009570F0">
        <w:t>ness</w:t>
      </w:r>
    </w:p>
    <w:p w14:paraId="64A6DC1B" w14:textId="37CDA428" w:rsidR="0078422B" w:rsidRPr="00A331FA" w:rsidRDefault="0078422B">
      <w:pPr>
        <w:pStyle w:val="Bullets"/>
      </w:pPr>
      <w:r>
        <w:t>p</w:t>
      </w:r>
      <w:r w:rsidRPr="00A331FA">
        <w:t xml:space="preserve">rogressed amendments to the </w:t>
      </w:r>
      <w:r w:rsidRPr="254438D3">
        <w:rPr>
          <w:i/>
          <w:iCs/>
        </w:rPr>
        <w:t xml:space="preserve">Retirement Villages Act 1999 </w:t>
      </w:r>
      <w:r w:rsidRPr="00A331FA">
        <w:t xml:space="preserve">and the </w:t>
      </w:r>
      <w:r w:rsidRPr="254438D3">
        <w:rPr>
          <w:i/>
          <w:iCs/>
        </w:rPr>
        <w:t>Manufactured Homes (Residential Parks) Act 2003</w:t>
      </w:r>
      <w:r w:rsidR="003573F0">
        <w:rPr>
          <w:i/>
          <w:iCs/>
        </w:rPr>
        <w:t>,</w:t>
      </w:r>
      <w:r w:rsidRPr="00A331FA">
        <w:t xml:space="preserve"> to enhance fairness and consumer protection, balanced with industry viability </w:t>
      </w:r>
    </w:p>
    <w:p w14:paraId="7056DCCF" w14:textId="77777777" w:rsidR="0078422B" w:rsidRPr="00A331FA" w:rsidRDefault="0078422B">
      <w:pPr>
        <w:pStyle w:val="Bullets"/>
      </w:pPr>
      <w:r>
        <w:t>r</w:t>
      </w:r>
      <w:r w:rsidRPr="00A331FA">
        <w:t>eleased the ‘Seniors Living Series’ to help seniors make informed decisions about where to live during retirement, and things to be considered when</w:t>
      </w:r>
      <w:r w:rsidRPr="0046370F">
        <w:t xml:space="preserve"> making these decisions</w:t>
      </w:r>
    </w:p>
    <w:p w14:paraId="4F61EBB5" w14:textId="77777777" w:rsidR="0078422B" w:rsidRPr="00A331FA" w:rsidRDefault="0078422B">
      <w:pPr>
        <w:pStyle w:val="Bullets"/>
      </w:pPr>
      <w:r>
        <w:t>p</w:t>
      </w:r>
      <w:r w:rsidRPr="00A331FA">
        <w:t xml:space="preserve">rogressed amendments to the </w:t>
      </w:r>
      <w:r w:rsidRPr="254438D3">
        <w:rPr>
          <w:i/>
          <w:iCs/>
        </w:rPr>
        <w:t>Residential Services (Accreditation) Act 2002</w:t>
      </w:r>
      <w:r w:rsidRPr="00A331FA">
        <w:t xml:space="preserve"> to ensure the regulatory framework protects residents, promotes fair trading practices, and encourages the growth and viability of the residential services industry</w:t>
      </w:r>
    </w:p>
    <w:p w14:paraId="4FAEB502" w14:textId="7C802560" w:rsidR="00717976" w:rsidRPr="007B54AB" w:rsidRDefault="0078422B">
      <w:pPr>
        <w:pStyle w:val="Bullets"/>
        <w:rPr>
          <w:b/>
          <w:bCs/>
        </w:rPr>
      </w:pPr>
      <w:r>
        <w:lastRenderedPageBreak/>
        <w:t>r</w:t>
      </w:r>
      <w:r w:rsidRPr="00A331FA">
        <w:t xml:space="preserve">eleased a new </w:t>
      </w:r>
      <w:r w:rsidRPr="254438D3">
        <w:rPr>
          <w:i/>
          <w:iCs/>
        </w:rPr>
        <w:t>Guideline for Medication Assistance</w:t>
      </w:r>
      <w:r w:rsidRPr="00A331FA">
        <w:t xml:space="preserve"> to support residential services to develop policies and procedures, implement safe practices and minimise the risk of harm from inappropriate</w:t>
      </w:r>
      <w:r w:rsidRPr="0046370F">
        <w:t xml:space="preserve"> use of medication by residents</w:t>
      </w:r>
      <w:r w:rsidR="00B46618">
        <w:t>.</w:t>
      </w:r>
      <w:r w:rsidRPr="690957E2">
        <w:t xml:space="preserve"> </w:t>
      </w:r>
    </w:p>
    <w:p w14:paraId="671D1504" w14:textId="77777777" w:rsidR="00717976" w:rsidRPr="006A75F2" w:rsidRDefault="00717976" w:rsidP="00792F33">
      <w:pPr>
        <w:pStyle w:val="ARHeading4"/>
      </w:pPr>
      <w:r w:rsidRPr="006A75F2">
        <w:t>Delivering Private Market Assistance</w:t>
      </w:r>
    </w:p>
    <w:p w14:paraId="39C99990" w14:textId="5752AB8C" w:rsidR="00717976" w:rsidRPr="00A331FA" w:rsidRDefault="00717976" w:rsidP="00CF0A4C">
      <w:r w:rsidRPr="00A331FA">
        <w:t>In 2016–1</w:t>
      </w:r>
      <w:r w:rsidRPr="0046370F">
        <w:t>7</w:t>
      </w:r>
      <w:r>
        <w:t>,</w:t>
      </w:r>
      <w:r w:rsidRPr="00A331FA">
        <w:t xml:space="preserve"> the department assisted over </w:t>
      </w:r>
      <w:r w:rsidR="00D06663" w:rsidRPr="0004270E">
        <w:t>200</w:t>
      </w:r>
      <w:r w:rsidRPr="0004270E">
        <w:t>,000</w:t>
      </w:r>
      <w:r w:rsidRPr="00A331FA">
        <w:t xml:space="preserve"> low income households to access or remain in the private housing market. To achieve this, we:</w:t>
      </w:r>
    </w:p>
    <w:p w14:paraId="0614EE07" w14:textId="77777777" w:rsidR="00717976" w:rsidRPr="00A331FA" w:rsidRDefault="00717976" w:rsidP="00096C6C">
      <w:pPr>
        <w:pStyle w:val="Bullets"/>
      </w:pPr>
      <w:r w:rsidRPr="00A331FA">
        <w:t xml:space="preserve">assisted 17,410 households to secure and sustain a home in the private rental market through RentConnect services </w:t>
      </w:r>
    </w:p>
    <w:p w14:paraId="6BFC254F" w14:textId="7FDF7D9C" w:rsidR="00717976" w:rsidRPr="00A331FA" w:rsidRDefault="00717976" w:rsidP="00096C6C">
      <w:pPr>
        <w:pStyle w:val="Bullets"/>
      </w:pPr>
      <w:r w:rsidRPr="00A331FA">
        <w:t>provided 23,334 new bond loans to households unable to pay full rental bonds, provided 5,066 rental grants to households experiencing a housing crisis or who were unable to afford some of the immediate costs of moving</w:t>
      </w:r>
    </w:p>
    <w:p w14:paraId="6FEA927F" w14:textId="74730452" w:rsidR="00CD47FE" w:rsidRDefault="00717976" w:rsidP="00096C6C">
      <w:pPr>
        <w:pStyle w:val="Bullets"/>
      </w:pPr>
      <w:r w:rsidRPr="00A331FA">
        <w:t xml:space="preserve">assisted </w:t>
      </w:r>
      <w:r w:rsidR="2C6773E2" w:rsidRPr="00A331FA">
        <w:t>42,676</w:t>
      </w:r>
      <w:r w:rsidR="00F04F1F">
        <w:t xml:space="preserve"> households through Home Assist Secure by providing free information </w:t>
      </w:r>
      <w:r w:rsidRPr="00A331FA">
        <w:t xml:space="preserve">and referral about home maintenance and repairs, to people over 60 and those who have a disability </w:t>
      </w:r>
    </w:p>
    <w:p w14:paraId="2A216A42" w14:textId="11E9B540" w:rsidR="00717976" w:rsidRPr="00D21195" w:rsidRDefault="00717976" w:rsidP="00096C6C">
      <w:pPr>
        <w:pStyle w:val="Bullets"/>
      </w:pPr>
      <w:r w:rsidRPr="00A331FA">
        <w:t xml:space="preserve">assisted </w:t>
      </w:r>
      <w:r w:rsidR="2C6773E2" w:rsidRPr="00A331FA">
        <w:t>2,209</w:t>
      </w:r>
      <w:r w:rsidRPr="00A331FA">
        <w:t xml:space="preserve"> new households to access affordable housing and provided $27.</w:t>
      </w:r>
      <w:r w:rsidR="00015AE1">
        <w:t>211</w:t>
      </w:r>
      <w:r w:rsidRPr="00A331FA">
        <w:t xml:space="preserve"> million as incentives to investors to support over </w:t>
      </w:r>
      <w:r w:rsidRPr="00176877">
        <w:t>10,200</w:t>
      </w:r>
      <w:r w:rsidRPr="00A331FA">
        <w:t xml:space="preserve"> affordable private rental dwellings across the state through the National Rental Affordability Scheme (NRAS) </w:t>
      </w:r>
    </w:p>
    <w:p w14:paraId="5EF6345A" w14:textId="77777777" w:rsidR="00717976" w:rsidRPr="00740AC1" w:rsidRDefault="00717976" w:rsidP="00D675BC">
      <w:pPr>
        <w:pStyle w:val="Bullets"/>
      </w:pPr>
      <w:r w:rsidRPr="00740AC1">
        <w:t>continued to support the Park and Village Information Link to provide free, independent and specialised legal advice and information to 216 households</w:t>
      </w:r>
    </w:p>
    <w:p w14:paraId="26433A63" w14:textId="4DDB16D1" w:rsidR="00717976" w:rsidRPr="00740AC1" w:rsidRDefault="00717976" w:rsidP="00E05961">
      <w:pPr>
        <w:pStyle w:val="Bullets"/>
      </w:pPr>
      <w:r w:rsidRPr="00740AC1">
        <w:t>delivered the Housing and Employment Program to 88 households</w:t>
      </w:r>
      <w:r w:rsidR="002376C1" w:rsidRPr="00740AC1">
        <w:t xml:space="preserve"> t</w:t>
      </w:r>
      <w:r w:rsidR="004F1DB9" w:rsidRPr="00740AC1">
        <w:t>o assist people in undertaking training, education and employment</w:t>
      </w:r>
    </w:p>
    <w:p w14:paraId="7C23ABB2" w14:textId="470A243E" w:rsidR="00717976" w:rsidRDefault="00717976">
      <w:pPr>
        <w:pStyle w:val="Bullets"/>
      </w:pPr>
      <w:r w:rsidRPr="00A331FA">
        <w:t xml:space="preserve">provided </w:t>
      </w:r>
      <w:r w:rsidR="000D7003" w:rsidRPr="00176877">
        <w:t>109,298</w:t>
      </w:r>
      <w:r w:rsidRPr="00A331FA">
        <w:t xml:space="preserve"> instances of advice and assistance through the Queensland </w:t>
      </w:r>
      <w:r w:rsidRPr="00710AC4">
        <w:t>State-wide</w:t>
      </w:r>
      <w:r w:rsidRPr="00A331FA">
        <w:t xml:space="preserve"> Tenants’ Advice and Referral Service (QSTARS) </w:t>
      </w:r>
    </w:p>
    <w:p w14:paraId="2F2B031F" w14:textId="77777777" w:rsidR="00CF5CE6" w:rsidRDefault="00CF5CE6" w:rsidP="00CF0A4C">
      <w:pPr>
        <w:sectPr w:rsidR="00CF5CE6" w:rsidSect="00D23541">
          <w:pgSz w:w="11906" w:h="16838"/>
          <w:pgMar w:top="1440" w:right="1021" w:bottom="1440" w:left="1021" w:header="709" w:footer="709" w:gutter="0"/>
          <w:cols w:num="2" w:space="397"/>
          <w:docGrid w:linePitch="360"/>
        </w:sectPr>
      </w:pPr>
    </w:p>
    <w:p w14:paraId="2623DBFA" w14:textId="77777777" w:rsidR="00D675BC" w:rsidRPr="00D675BC" w:rsidRDefault="00D675BC" w:rsidP="00CF0A4C">
      <w:pPr>
        <w:rPr>
          <w:b/>
        </w:rPr>
      </w:pPr>
    </w:p>
    <w:p w14:paraId="75B3174C" w14:textId="77777777" w:rsidR="00E05961" w:rsidRPr="00E05961" w:rsidRDefault="00E05961" w:rsidP="00E05961">
      <w:pPr>
        <w:rPr>
          <w:b/>
        </w:rPr>
      </w:pPr>
      <w:r w:rsidRPr="00E05961">
        <w:rPr>
          <w:b/>
        </w:rPr>
        <w:t xml:space="preserve">Total number of new households assisted with private rental market assistance to remain in or move to the private rental market </w:t>
      </w:r>
    </w:p>
    <w:tbl>
      <w:tblPr>
        <w:tblW w:w="9774" w:type="dxa"/>
        <w:tblInd w:w="-3" w:type="dxa"/>
        <w:tblLayout w:type="fixed"/>
        <w:tblCellMar>
          <w:left w:w="0" w:type="dxa"/>
          <w:right w:w="0" w:type="dxa"/>
        </w:tblCellMar>
        <w:tblLook w:val="04A0" w:firstRow="1" w:lastRow="0" w:firstColumn="1" w:lastColumn="0" w:noHBand="0" w:noVBand="1"/>
      </w:tblPr>
      <w:tblGrid>
        <w:gridCol w:w="4388"/>
        <w:gridCol w:w="1077"/>
        <w:gridCol w:w="1077"/>
        <w:gridCol w:w="1077"/>
        <w:gridCol w:w="1077"/>
        <w:gridCol w:w="1078"/>
      </w:tblGrid>
      <w:tr w:rsidR="00CF5CE6" w:rsidRPr="001A0FEB" w14:paraId="490BF57B" w14:textId="034BE0FD" w:rsidTr="00E05961">
        <w:trPr>
          <w:trHeight w:val="300"/>
        </w:trPr>
        <w:tc>
          <w:tcPr>
            <w:tcW w:w="438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0FAFF35C" w14:textId="77777777" w:rsidR="00CF5CE6" w:rsidRPr="00AF428A" w:rsidRDefault="00CF5CE6" w:rsidP="001A0FEB">
            <w:pPr>
              <w:rPr>
                <w:b/>
              </w:rPr>
            </w:pPr>
            <w:r w:rsidRPr="001A0FEB">
              <w:rPr>
                <w:b/>
              </w:rPr>
              <w:t>Product</w:t>
            </w:r>
          </w:p>
        </w:tc>
        <w:tc>
          <w:tcPr>
            <w:tcW w:w="107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C17D3C8" w14:textId="6B1D3A29" w:rsidR="00CF5CE6" w:rsidRPr="00F16F8D" w:rsidRDefault="00CF5CE6" w:rsidP="00E05961">
            <w:pPr>
              <w:jc w:val="right"/>
              <w:rPr>
                <w:b/>
                <w:bCs/>
              </w:rPr>
            </w:pPr>
            <w:r w:rsidRPr="009C1C43">
              <w:rPr>
                <w:b/>
                <w:bCs/>
              </w:rPr>
              <w:t>2012</w:t>
            </w:r>
            <w:r w:rsidR="000C39C3" w:rsidRPr="009C1C43">
              <w:rPr>
                <w:b/>
                <w:bCs/>
              </w:rPr>
              <w:t>–</w:t>
            </w:r>
            <w:r w:rsidRPr="009C1C43">
              <w:rPr>
                <w:b/>
                <w:bCs/>
              </w:rPr>
              <w:t>13</w:t>
            </w:r>
          </w:p>
        </w:tc>
        <w:tc>
          <w:tcPr>
            <w:tcW w:w="107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692484CF" w14:textId="5B4D165A" w:rsidR="00CF5CE6" w:rsidRPr="00F16F8D" w:rsidRDefault="00CF5CE6" w:rsidP="00E05961">
            <w:pPr>
              <w:jc w:val="right"/>
              <w:rPr>
                <w:b/>
                <w:bCs/>
              </w:rPr>
            </w:pPr>
            <w:r w:rsidRPr="009C1C43">
              <w:rPr>
                <w:b/>
                <w:bCs/>
              </w:rPr>
              <w:t>2013</w:t>
            </w:r>
            <w:r w:rsidR="000C39C3" w:rsidRPr="009C1C43">
              <w:rPr>
                <w:b/>
                <w:bCs/>
              </w:rPr>
              <w:t>–</w:t>
            </w:r>
            <w:r w:rsidRPr="009C1C43">
              <w:rPr>
                <w:b/>
                <w:bCs/>
              </w:rPr>
              <w:t>14</w:t>
            </w:r>
          </w:p>
        </w:tc>
        <w:tc>
          <w:tcPr>
            <w:tcW w:w="107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3907DB6E" w14:textId="375F646C" w:rsidR="00CF5CE6" w:rsidRPr="00F16F8D" w:rsidRDefault="000C39C3" w:rsidP="00E05961">
            <w:pPr>
              <w:jc w:val="right"/>
              <w:rPr>
                <w:b/>
                <w:bCs/>
              </w:rPr>
            </w:pPr>
            <w:r w:rsidRPr="009C1C43">
              <w:rPr>
                <w:b/>
                <w:bCs/>
              </w:rPr>
              <w:t>2014–15</w:t>
            </w:r>
          </w:p>
        </w:tc>
        <w:tc>
          <w:tcPr>
            <w:tcW w:w="107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hideMark/>
          </w:tcPr>
          <w:p w14:paraId="7D79E9D1" w14:textId="619C4206" w:rsidR="00CF5CE6" w:rsidRPr="00F16F8D" w:rsidRDefault="000C39C3" w:rsidP="00E05961">
            <w:pPr>
              <w:jc w:val="right"/>
              <w:rPr>
                <w:b/>
                <w:bCs/>
              </w:rPr>
            </w:pPr>
            <w:r w:rsidRPr="009C1C43">
              <w:rPr>
                <w:b/>
                <w:bCs/>
              </w:rPr>
              <w:t>2015–16</w:t>
            </w:r>
          </w:p>
        </w:tc>
        <w:tc>
          <w:tcPr>
            <w:tcW w:w="1078"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1102F8D2" w14:textId="75802EDA" w:rsidR="00CF5CE6" w:rsidRPr="00AF428A" w:rsidRDefault="00CF5CE6" w:rsidP="00E05961">
            <w:pPr>
              <w:jc w:val="right"/>
              <w:rPr>
                <w:b/>
              </w:rPr>
            </w:pPr>
            <w:r w:rsidRPr="001A0FEB">
              <w:rPr>
                <w:b/>
              </w:rPr>
              <w:t>2016–17</w:t>
            </w:r>
          </w:p>
        </w:tc>
      </w:tr>
      <w:tr w:rsidR="00CF5CE6" w:rsidRPr="001A0FEB" w14:paraId="6B9179B7" w14:textId="3A103887" w:rsidTr="00E05961">
        <w:trPr>
          <w:trHeight w:val="300"/>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D54194" w14:textId="77777777" w:rsidR="00CF5CE6" w:rsidRPr="001A0FEB" w:rsidRDefault="00CF5CE6" w:rsidP="001A0FEB">
            <w:r w:rsidRPr="001A0FEB">
              <w:t>Bond loans</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41B910" w14:textId="77777777" w:rsidR="00CF5CE6" w:rsidRPr="001A0FEB" w:rsidRDefault="00CF5CE6" w:rsidP="00E05961">
            <w:pPr>
              <w:jc w:val="right"/>
            </w:pPr>
            <w:r w:rsidRPr="001A0FEB">
              <w:t xml:space="preserve">22,231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E655CAC" w14:textId="77777777" w:rsidR="00CF5CE6" w:rsidRPr="001A0FEB" w:rsidRDefault="00CF5CE6" w:rsidP="00E05961">
            <w:pPr>
              <w:jc w:val="right"/>
            </w:pPr>
            <w:r w:rsidRPr="001A0FEB">
              <w:t xml:space="preserve">22,864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A125BA" w14:textId="77777777" w:rsidR="00CF5CE6" w:rsidRPr="001A0FEB" w:rsidRDefault="00CF5CE6" w:rsidP="00E05961">
            <w:pPr>
              <w:jc w:val="right"/>
            </w:pPr>
            <w:r w:rsidRPr="001A0FEB">
              <w:t xml:space="preserve">22,596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E311221" w14:textId="77777777" w:rsidR="00CF5CE6" w:rsidRPr="001A0FEB" w:rsidRDefault="00CF5CE6" w:rsidP="00E05961">
            <w:pPr>
              <w:jc w:val="right"/>
            </w:pPr>
            <w:r w:rsidRPr="001A0FEB">
              <w:t xml:space="preserve">23,301 </w:t>
            </w:r>
          </w:p>
        </w:tc>
        <w:tc>
          <w:tcPr>
            <w:tcW w:w="1078" w:type="dxa"/>
            <w:tcBorders>
              <w:top w:val="nil"/>
              <w:left w:val="nil"/>
              <w:bottom w:val="single" w:sz="8" w:space="0" w:color="auto"/>
              <w:right w:val="single" w:sz="8" w:space="0" w:color="auto"/>
            </w:tcBorders>
            <w:shd w:val="clear" w:color="auto" w:fill="auto"/>
            <w:vAlign w:val="center"/>
          </w:tcPr>
          <w:p w14:paraId="1B557248" w14:textId="03598895" w:rsidR="00CF5CE6" w:rsidRPr="001A0FEB" w:rsidRDefault="00CF5CE6" w:rsidP="00E05961">
            <w:pPr>
              <w:jc w:val="right"/>
            </w:pPr>
            <w:r w:rsidRPr="001A0FEB">
              <w:t>23,334</w:t>
            </w:r>
          </w:p>
        </w:tc>
      </w:tr>
      <w:tr w:rsidR="00CF5CE6" w:rsidRPr="001A0FEB" w14:paraId="2D25911E" w14:textId="380DE276" w:rsidTr="00E05961">
        <w:trPr>
          <w:trHeight w:val="300"/>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F759E4" w14:textId="77777777" w:rsidR="00CF5CE6" w:rsidRPr="001A0FEB" w:rsidRDefault="00CF5CE6" w:rsidP="001A0FEB">
            <w:r w:rsidRPr="001A0FEB">
              <w:t>Rental grants</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A4055C6" w14:textId="77777777" w:rsidR="00CF5CE6" w:rsidRPr="001A0FEB" w:rsidRDefault="00CF5CE6" w:rsidP="00E05961">
            <w:pPr>
              <w:jc w:val="right"/>
            </w:pPr>
            <w:r w:rsidRPr="001A0FEB">
              <w:t xml:space="preserve">3,926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274D85" w14:textId="77777777" w:rsidR="00CF5CE6" w:rsidRPr="001A0FEB" w:rsidRDefault="00CF5CE6" w:rsidP="00E05961">
            <w:pPr>
              <w:jc w:val="right"/>
            </w:pPr>
            <w:r w:rsidRPr="001A0FEB">
              <w:t xml:space="preserve">4,201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D5B0D2" w14:textId="77777777" w:rsidR="00CF5CE6" w:rsidRPr="001A0FEB" w:rsidRDefault="00CF5CE6" w:rsidP="00E05961">
            <w:pPr>
              <w:jc w:val="right"/>
            </w:pPr>
            <w:r w:rsidRPr="001A0FEB">
              <w:t xml:space="preserve">3,803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FED4965" w14:textId="77777777" w:rsidR="00CF5CE6" w:rsidRPr="001A0FEB" w:rsidRDefault="00CF5CE6" w:rsidP="00E05961">
            <w:pPr>
              <w:jc w:val="right"/>
            </w:pPr>
            <w:r w:rsidRPr="001A0FEB">
              <w:t xml:space="preserve">4,283 </w:t>
            </w:r>
          </w:p>
        </w:tc>
        <w:tc>
          <w:tcPr>
            <w:tcW w:w="1078" w:type="dxa"/>
            <w:tcBorders>
              <w:top w:val="nil"/>
              <w:left w:val="nil"/>
              <w:bottom w:val="single" w:sz="8" w:space="0" w:color="auto"/>
              <w:right w:val="single" w:sz="8" w:space="0" w:color="auto"/>
            </w:tcBorders>
            <w:shd w:val="clear" w:color="auto" w:fill="auto"/>
            <w:vAlign w:val="center"/>
          </w:tcPr>
          <w:p w14:paraId="07B5AC73" w14:textId="5F9AAF6B" w:rsidR="00CF5CE6" w:rsidRPr="001A0FEB" w:rsidRDefault="00CF5CE6" w:rsidP="00E05961">
            <w:pPr>
              <w:jc w:val="right"/>
            </w:pPr>
            <w:r w:rsidRPr="001A0FEB">
              <w:t>5,066</w:t>
            </w:r>
          </w:p>
        </w:tc>
      </w:tr>
      <w:tr w:rsidR="00CF5CE6" w:rsidRPr="001A0FEB" w14:paraId="3A3F4EA8" w14:textId="5FA57A9D" w:rsidTr="00E05961">
        <w:trPr>
          <w:trHeight w:val="300"/>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3CF52E" w14:textId="77777777" w:rsidR="00CF5CE6" w:rsidRPr="001A0FEB" w:rsidRDefault="00CF5CE6" w:rsidP="001A0FEB">
            <w:r w:rsidRPr="001A0FEB">
              <w:t>RentConnect</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E96B1E9" w14:textId="77777777" w:rsidR="00CF5CE6" w:rsidRPr="001A0FEB" w:rsidRDefault="00CF5CE6" w:rsidP="00E05961">
            <w:pPr>
              <w:jc w:val="right"/>
            </w:pPr>
            <w:r w:rsidRPr="001A0FEB">
              <w:t xml:space="preserve">9,010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6342D6E" w14:textId="77777777" w:rsidR="00CF5CE6" w:rsidRPr="001A0FEB" w:rsidRDefault="00CF5CE6" w:rsidP="00E05961">
            <w:pPr>
              <w:jc w:val="right"/>
            </w:pPr>
            <w:r w:rsidRPr="001A0FEB">
              <w:t xml:space="preserve">12,771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BFC37B" w14:textId="77777777" w:rsidR="00CF5CE6" w:rsidRPr="001A0FEB" w:rsidRDefault="00CF5CE6" w:rsidP="00E05961">
            <w:pPr>
              <w:jc w:val="right"/>
            </w:pPr>
            <w:r w:rsidRPr="001A0FEB">
              <w:t xml:space="preserve">17,910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BB1C74" w14:textId="77777777" w:rsidR="00CF5CE6" w:rsidRPr="001A0FEB" w:rsidRDefault="00CF5CE6" w:rsidP="00E05961">
            <w:pPr>
              <w:jc w:val="right"/>
            </w:pPr>
            <w:r w:rsidRPr="001A0FEB">
              <w:t xml:space="preserve">17,071 </w:t>
            </w:r>
          </w:p>
        </w:tc>
        <w:tc>
          <w:tcPr>
            <w:tcW w:w="1078" w:type="dxa"/>
            <w:tcBorders>
              <w:top w:val="nil"/>
              <w:left w:val="nil"/>
              <w:bottom w:val="single" w:sz="8" w:space="0" w:color="auto"/>
              <w:right w:val="single" w:sz="8" w:space="0" w:color="auto"/>
            </w:tcBorders>
            <w:shd w:val="clear" w:color="auto" w:fill="auto"/>
            <w:vAlign w:val="center"/>
          </w:tcPr>
          <w:p w14:paraId="6A5DB3C5" w14:textId="7A6DC360" w:rsidR="00CF5CE6" w:rsidRPr="001A0FEB" w:rsidRDefault="00CF5CE6" w:rsidP="00E05961">
            <w:pPr>
              <w:jc w:val="right"/>
            </w:pPr>
            <w:r w:rsidRPr="001A0FEB">
              <w:t>17,41</w:t>
            </w:r>
            <w:r w:rsidR="00A70904">
              <w:t>0</w:t>
            </w:r>
          </w:p>
        </w:tc>
      </w:tr>
      <w:tr w:rsidR="00CF5CE6" w:rsidRPr="001A0FEB" w14:paraId="68816B8C" w14:textId="27C68B7F" w:rsidTr="00E05961">
        <w:trPr>
          <w:trHeight w:val="300"/>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9B94592" w14:textId="77777777" w:rsidR="00CF5CE6" w:rsidRPr="001A0FEB" w:rsidRDefault="00CF5CE6" w:rsidP="001A0FEB">
            <w:r w:rsidRPr="001A0FEB">
              <w:t>Housing and Employment Program</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AEB0E7" w14:textId="77777777" w:rsidR="00CF5CE6" w:rsidRPr="001A0FEB" w:rsidRDefault="00CF5CE6" w:rsidP="00E05961">
            <w:pPr>
              <w:jc w:val="right"/>
            </w:pPr>
            <w:r w:rsidRPr="001A0FEB">
              <w:t xml:space="preserve">21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FC576F8" w14:textId="77777777" w:rsidR="00CF5CE6" w:rsidRPr="001A0FEB" w:rsidRDefault="00CF5CE6" w:rsidP="00E05961">
            <w:pPr>
              <w:jc w:val="right"/>
            </w:pPr>
            <w:r w:rsidRPr="001A0FEB">
              <w:t xml:space="preserve">14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571D4E4" w14:textId="77777777" w:rsidR="00CF5CE6" w:rsidRPr="001A0FEB" w:rsidRDefault="00CF5CE6" w:rsidP="00E05961">
            <w:pPr>
              <w:jc w:val="right"/>
            </w:pPr>
            <w:r w:rsidRPr="001A0FEB">
              <w:t xml:space="preserve">22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013600" w14:textId="77777777" w:rsidR="00CF5CE6" w:rsidRPr="001A0FEB" w:rsidRDefault="00CF5CE6" w:rsidP="00E05961">
            <w:pPr>
              <w:jc w:val="right"/>
            </w:pPr>
            <w:r w:rsidRPr="001A0FEB">
              <w:t xml:space="preserve">101 </w:t>
            </w:r>
          </w:p>
        </w:tc>
        <w:tc>
          <w:tcPr>
            <w:tcW w:w="1078" w:type="dxa"/>
            <w:tcBorders>
              <w:top w:val="nil"/>
              <w:left w:val="nil"/>
              <w:bottom w:val="single" w:sz="8" w:space="0" w:color="auto"/>
              <w:right w:val="single" w:sz="8" w:space="0" w:color="auto"/>
            </w:tcBorders>
            <w:shd w:val="clear" w:color="auto" w:fill="auto"/>
            <w:vAlign w:val="center"/>
          </w:tcPr>
          <w:p w14:paraId="06E25571" w14:textId="3A8E7F2F" w:rsidR="00CF5CE6" w:rsidRPr="001A0FEB" w:rsidRDefault="00CF5CE6" w:rsidP="00E05961">
            <w:pPr>
              <w:jc w:val="right"/>
            </w:pPr>
            <w:r w:rsidRPr="001A0FEB">
              <w:t>88</w:t>
            </w:r>
          </w:p>
        </w:tc>
      </w:tr>
      <w:tr w:rsidR="00CF5CE6" w:rsidRPr="001A0FEB" w14:paraId="4F3E52E9" w14:textId="33F47C69" w:rsidTr="00E05961">
        <w:trPr>
          <w:trHeight w:val="300"/>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07D9FD" w14:textId="77777777" w:rsidR="00CF5CE6" w:rsidRPr="001A0FEB" w:rsidRDefault="00CF5CE6" w:rsidP="001A0FEB">
            <w:r w:rsidRPr="001A0FEB">
              <w:t xml:space="preserve">National Rental Affordability Scheme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42899C" w14:textId="77777777" w:rsidR="00CF5CE6" w:rsidRPr="001A0FEB" w:rsidRDefault="00CF5CE6" w:rsidP="00E05961">
            <w:pPr>
              <w:jc w:val="right"/>
            </w:pPr>
            <w:r w:rsidRPr="001A0FEB">
              <w:t xml:space="preserve">1,906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A6298C" w14:textId="77777777" w:rsidR="00CF5CE6" w:rsidRPr="001A0FEB" w:rsidRDefault="00CF5CE6" w:rsidP="00E05961">
            <w:pPr>
              <w:jc w:val="right"/>
            </w:pPr>
            <w:r w:rsidRPr="001A0FEB">
              <w:t xml:space="preserve">3,902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94ADB5" w14:textId="77777777" w:rsidR="00CF5CE6" w:rsidRPr="001A0FEB" w:rsidRDefault="00CF5CE6" w:rsidP="00E05961">
            <w:pPr>
              <w:jc w:val="right"/>
            </w:pPr>
            <w:r w:rsidRPr="001A0FEB">
              <w:t xml:space="preserve">3,105 </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D8EE64" w14:textId="77777777" w:rsidR="00CF5CE6" w:rsidRPr="001A0FEB" w:rsidRDefault="00CF5CE6" w:rsidP="00E05961">
            <w:pPr>
              <w:jc w:val="right"/>
            </w:pPr>
            <w:r w:rsidRPr="001A0FEB">
              <w:t xml:space="preserve">2,685 </w:t>
            </w:r>
          </w:p>
        </w:tc>
        <w:tc>
          <w:tcPr>
            <w:tcW w:w="1078" w:type="dxa"/>
            <w:tcBorders>
              <w:top w:val="nil"/>
              <w:left w:val="nil"/>
              <w:bottom w:val="single" w:sz="8" w:space="0" w:color="auto"/>
              <w:right w:val="single" w:sz="8" w:space="0" w:color="auto"/>
            </w:tcBorders>
            <w:shd w:val="clear" w:color="auto" w:fill="auto"/>
            <w:vAlign w:val="center"/>
          </w:tcPr>
          <w:p w14:paraId="45559000" w14:textId="5FED2AF1" w:rsidR="00CF5CE6" w:rsidRPr="001A0FEB" w:rsidRDefault="00994468" w:rsidP="00E05961">
            <w:pPr>
              <w:jc w:val="right"/>
            </w:pPr>
            <w:r>
              <w:t>2,209</w:t>
            </w:r>
          </w:p>
        </w:tc>
      </w:tr>
      <w:tr w:rsidR="00C67142" w:rsidRPr="001A0FEB" w14:paraId="2A25D378" w14:textId="7E823141" w:rsidTr="00E05961">
        <w:trPr>
          <w:trHeight w:val="300"/>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C536D4" w14:textId="5ECDB973" w:rsidR="00C67142" w:rsidRPr="001A0FEB" w:rsidRDefault="00C7674C" w:rsidP="001A0FEB">
            <w:r>
              <w:t>Queensland</w:t>
            </w:r>
            <w:r w:rsidR="00C67142" w:rsidRPr="001A0FEB">
              <w:t xml:space="preserve"> State-wide Tenants’ Advice and Referral Service</w:t>
            </w:r>
            <w:r w:rsidR="00E05961">
              <w:t xml:space="preserve"> </w:t>
            </w:r>
            <w:r w:rsidR="00E05961" w:rsidRPr="00E05961">
              <w:rPr>
                <w:vertAlign w:val="superscript"/>
              </w:rPr>
              <w:t>1</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7D517B1" w14:textId="0DE0A29B" w:rsidR="00C67142" w:rsidRPr="001A0FEB" w:rsidRDefault="00C67142" w:rsidP="00E05961">
            <w:pPr>
              <w:jc w:val="right"/>
            </w:pPr>
            <w:r w:rsidRPr="001A0FEB">
              <w:t>NA</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4FAAF61" w14:textId="7DCAD5A5" w:rsidR="00C67142" w:rsidRPr="001A0FEB" w:rsidRDefault="00C67142" w:rsidP="00E05961">
            <w:pPr>
              <w:jc w:val="right"/>
            </w:pPr>
            <w:r w:rsidRPr="001A0FEB">
              <w:t>NA</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026DA0F" w14:textId="697303C4" w:rsidR="00C67142" w:rsidRPr="001A0FEB" w:rsidRDefault="00C67142" w:rsidP="00E05961">
            <w:pPr>
              <w:jc w:val="right"/>
            </w:pPr>
            <w:r w:rsidRPr="001A0FEB">
              <w:t>NA</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D881F4E" w14:textId="5D7D0A93" w:rsidR="00C67142" w:rsidRPr="001A0FEB" w:rsidRDefault="00C67142" w:rsidP="00E05961">
            <w:pPr>
              <w:jc w:val="right"/>
            </w:pPr>
            <w:r w:rsidRPr="001A0FEB">
              <w:t>32,057</w:t>
            </w:r>
            <w:r w:rsidRPr="00C907A7">
              <w:rPr>
                <w:vertAlign w:val="superscript"/>
              </w:rPr>
              <w:t>1</w:t>
            </w:r>
          </w:p>
        </w:tc>
        <w:tc>
          <w:tcPr>
            <w:tcW w:w="1078" w:type="dxa"/>
            <w:tcBorders>
              <w:top w:val="nil"/>
              <w:left w:val="nil"/>
              <w:bottom w:val="single" w:sz="8" w:space="0" w:color="auto"/>
              <w:right w:val="single" w:sz="8" w:space="0" w:color="auto"/>
            </w:tcBorders>
            <w:shd w:val="clear" w:color="auto" w:fill="auto"/>
            <w:vAlign w:val="center"/>
          </w:tcPr>
          <w:p w14:paraId="63A881F9" w14:textId="28953D23" w:rsidR="00C67142" w:rsidRPr="001A0FEB" w:rsidRDefault="00994468" w:rsidP="00E05961">
            <w:pPr>
              <w:jc w:val="right"/>
            </w:pPr>
            <w:r>
              <w:t>109,</w:t>
            </w:r>
            <w:r w:rsidR="006E6F82">
              <w:t>298</w:t>
            </w:r>
          </w:p>
        </w:tc>
      </w:tr>
      <w:tr w:rsidR="00C67142" w:rsidRPr="001A0FEB" w14:paraId="0F30A1E8" w14:textId="77777777" w:rsidTr="00E05961">
        <w:trPr>
          <w:trHeight w:val="300"/>
        </w:trPr>
        <w:tc>
          <w:tcPr>
            <w:tcW w:w="438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50818B" w14:textId="770FFF84" w:rsidR="00C67142" w:rsidRPr="001A0FEB" w:rsidRDefault="00C67142" w:rsidP="001A0FEB">
            <w:r w:rsidRPr="001A0FEB">
              <w:t>Home Assist Secure</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867E4D" w14:textId="6DB1E794" w:rsidR="00C67142" w:rsidRPr="001A0FEB" w:rsidRDefault="00C67142" w:rsidP="00E05961">
            <w:pPr>
              <w:jc w:val="right"/>
            </w:pPr>
            <w:r w:rsidRPr="001A0FEB">
              <w:t>61,986</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4A80A6B" w14:textId="5D0E0CFA" w:rsidR="00C67142" w:rsidRPr="001A0FEB" w:rsidRDefault="00C67142" w:rsidP="00E05961">
            <w:pPr>
              <w:jc w:val="right"/>
            </w:pPr>
            <w:r w:rsidRPr="001A0FEB">
              <w:t>54,348</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DA4786C" w14:textId="7F14C887" w:rsidR="00C67142" w:rsidRPr="001A0FEB" w:rsidRDefault="00C67142" w:rsidP="00E05961">
            <w:pPr>
              <w:jc w:val="right"/>
            </w:pPr>
            <w:r w:rsidRPr="001A0FEB">
              <w:t>50,047</w:t>
            </w:r>
          </w:p>
        </w:tc>
        <w:tc>
          <w:tcPr>
            <w:tcW w:w="107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9ACA100" w14:textId="6531922B" w:rsidR="00C67142" w:rsidRPr="001A0FEB" w:rsidRDefault="00C67142" w:rsidP="00E05961">
            <w:pPr>
              <w:jc w:val="right"/>
            </w:pPr>
            <w:r w:rsidRPr="001A0FEB">
              <w:t>44,248</w:t>
            </w:r>
          </w:p>
        </w:tc>
        <w:tc>
          <w:tcPr>
            <w:tcW w:w="1078" w:type="dxa"/>
            <w:tcBorders>
              <w:top w:val="nil"/>
              <w:left w:val="nil"/>
              <w:bottom w:val="single" w:sz="8" w:space="0" w:color="auto"/>
              <w:right w:val="single" w:sz="8" w:space="0" w:color="auto"/>
            </w:tcBorders>
            <w:shd w:val="clear" w:color="auto" w:fill="auto"/>
            <w:vAlign w:val="center"/>
          </w:tcPr>
          <w:p w14:paraId="0EA947B5" w14:textId="00573C8A" w:rsidR="00C67142" w:rsidRPr="001A0FEB" w:rsidRDefault="006E6F82" w:rsidP="00E05961">
            <w:pPr>
              <w:jc w:val="right"/>
            </w:pPr>
            <w:r>
              <w:t>42,676</w:t>
            </w:r>
          </w:p>
        </w:tc>
      </w:tr>
      <w:tr w:rsidR="00C67142" w:rsidRPr="00E05961" w14:paraId="7EFAE120" w14:textId="528F14EF" w:rsidTr="00E05961">
        <w:trPr>
          <w:trHeight w:val="300"/>
        </w:trPr>
        <w:tc>
          <w:tcPr>
            <w:tcW w:w="4388"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bottom"/>
            <w:hideMark/>
          </w:tcPr>
          <w:p w14:paraId="24FF93A8" w14:textId="77777777" w:rsidR="00C67142" w:rsidRPr="00E05961" w:rsidRDefault="00C67142" w:rsidP="00CF0A4C">
            <w:pPr>
              <w:rPr>
                <w:b/>
                <w:lang w:eastAsia="en-AU"/>
              </w:rPr>
            </w:pPr>
            <w:r w:rsidRPr="00E05961">
              <w:rPr>
                <w:b/>
                <w:lang w:eastAsia="en-AU"/>
              </w:rPr>
              <w:t>New households assisted</w:t>
            </w:r>
          </w:p>
        </w:tc>
        <w:tc>
          <w:tcPr>
            <w:tcW w:w="1077"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7BD053CB" w14:textId="0DDC6C3D" w:rsidR="00C67142" w:rsidRPr="00E05961" w:rsidRDefault="00C67142" w:rsidP="00E05961">
            <w:pPr>
              <w:jc w:val="right"/>
              <w:rPr>
                <w:b/>
                <w:bCs/>
                <w:lang w:eastAsia="en-AU"/>
              </w:rPr>
            </w:pPr>
            <w:r w:rsidRPr="00E05961">
              <w:rPr>
                <w:b/>
                <w:lang w:eastAsia="en-AU"/>
              </w:rPr>
              <w:fldChar w:fldCharType="begin"/>
            </w:r>
            <w:r w:rsidRPr="00E05961">
              <w:rPr>
                <w:b/>
                <w:lang w:eastAsia="en-AU"/>
              </w:rPr>
              <w:instrText xml:space="preserve"> =SUM(ABOVE) </w:instrText>
            </w:r>
            <w:r w:rsidRPr="00E05961">
              <w:rPr>
                <w:b/>
                <w:lang w:eastAsia="en-AU"/>
              </w:rPr>
              <w:fldChar w:fldCharType="separate"/>
            </w:r>
            <w:r w:rsidRPr="00E05961">
              <w:rPr>
                <w:b/>
                <w:noProof/>
                <w:lang w:eastAsia="en-AU"/>
              </w:rPr>
              <w:t>99,080</w:t>
            </w:r>
            <w:r w:rsidRPr="00E05961">
              <w:rPr>
                <w:b/>
                <w:lang w:eastAsia="en-AU"/>
              </w:rPr>
              <w:fldChar w:fldCharType="end"/>
            </w:r>
          </w:p>
        </w:tc>
        <w:tc>
          <w:tcPr>
            <w:tcW w:w="1077"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022B82B1" w14:textId="5C310EEA" w:rsidR="00C67142" w:rsidRPr="00E05961" w:rsidRDefault="00C67142" w:rsidP="00E05961">
            <w:pPr>
              <w:jc w:val="right"/>
              <w:rPr>
                <w:b/>
                <w:bCs/>
                <w:lang w:eastAsia="en-AU"/>
              </w:rPr>
            </w:pPr>
            <w:r w:rsidRPr="00E05961">
              <w:rPr>
                <w:b/>
                <w:lang w:eastAsia="en-AU"/>
              </w:rPr>
              <w:fldChar w:fldCharType="begin"/>
            </w:r>
            <w:r w:rsidRPr="00E05961">
              <w:rPr>
                <w:b/>
                <w:lang w:eastAsia="en-AU"/>
              </w:rPr>
              <w:instrText xml:space="preserve"> =SUM(ABOVE) </w:instrText>
            </w:r>
            <w:r w:rsidRPr="00E05961">
              <w:rPr>
                <w:b/>
                <w:lang w:eastAsia="en-AU"/>
              </w:rPr>
              <w:fldChar w:fldCharType="separate"/>
            </w:r>
            <w:r w:rsidRPr="00E05961">
              <w:rPr>
                <w:b/>
                <w:noProof/>
                <w:lang w:eastAsia="en-AU"/>
              </w:rPr>
              <w:t>98,100</w:t>
            </w:r>
            <w:r w:rsidRPr="00E05961">
              <w:rPr>
                <w:b/>
                <w:lang w:eastAsia="en-AU"/>
              </w:rPr>
              <w:fldChar w:fldCharType="end"/>
            </w:r>
          </w:p>
        </w:tc>
        <w:tc>
          <w:tcPr>
            <w:tcW w:w="1077"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5A418229" w14:textId="26253FBF" w:rsidR="00C67142" w:rsidRPr="00E05961" w:rsidRDefault="00C67142" w:rsidP="00E05961">
            <w:pPr>
              <w:jc w:val="right"/>
              <w:rPr>
                <w:b/>
                <w:bCs/>
                <w:lang w:eastAsia="en-AU"/>
              </w:rPr>
            </w:pPr>
            <w:r w:rsidRPr="00E05961">
              <w:rPr>
                <w:b/>
                <w:lang w:eastAsia="en-AU"/>
              </w:rPr>
              <w:fldChar w:fldCharType="begin"/>
            </w:r>
            <w:r w:rsidRPr="00E05961">
              <w:rPr>
                <w:b/>
                <w:lang w:eastAsia="en-AU"/>
              </w:rPr>
              <w:instrText xml:space="preserve"> =SUM(ABOVE) </w:instrText>
            </w:r>
            <w:r w:rsidRPr="00E05961">
              <w:rPr>
                <w:b/>
                <w:lang w:eastAsia="en-AU"/>
              </w:rPr>
              <w:fldChar w:fldCharType="separate"/>
            </w:r>
            <w:r w:rsidRPr="00E05961">
              <w:rPr>
                <w:b/>
                <w:noProof/>
                <w:lang w:eastAsia="en-AU"/>
              </w:rPr>
              <w:t>97,483</w:t>
            </w:r>
            <w:r w:rsidRPr="00E05961">
              <w:rPr>
                <w:b/>
                <w:lang w:eastAsia="en-AU"/>
              </w:rPr>
              <w:fldChar w:fldCharType="end"/>
            </w:r>
          </w:p>
        </w:tc>
        <w:tc>
          <w:tcPr>
            <w:tcW w:w="1077" w:type="dxa"/>
            <w:tcBorders>
              <w:top w:val="nil"/>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vAlign w:val="center"/>
          </w:tcPr>
          <w:p w14:paraId="1E2B5224" w14:textId="60C44095" w:rsidR="00C67142" w:rsidRPr="00E05961" w:rsidRDefault="00C67142" w:rsidP="00E05961">
            <w:pPr>
              <w:jc w:val="right"/>
              <w:rPr>
                <w:b/>
                <w:lang w:eastAsia="en-AU"/>
              </w:rPr>
            </w:pPr>
            <w:r w:rsidRPr="00E05961">
              <w:rPr>
                <w:b/>
                <w:lang w:eastAsia="en-AU"/>
              </w:rPr>
              <w:fldChar w:fldCharType="begin"/>
            </w:r>
            <w:r w:rsidRPr="00E05961">
              <w:rPr>
                <w:b/>
                <w:lang w:eastAsia="en-AU"/>
              </w:rPr>
              <w:instrText xml:space="preserve"> =SUM(ABOVE) </w:instrText>
            </w:r>
            <w:r w:rsidRPr="00E05961">
              <w:rPr>
                <w:b/>
                <w:lang w:eastAsia="en-AU"/>
              </w:rPr>
              <w:fldChar w:fldCharType="separate"/>
            </w:r>
            <w:r w:rsidRPr="00E05961">
              <w:rPr>
                <w:b/>
                <w:noProof/>
                <w:lang w:eastAsia="en-AU"/>
              </w:rPr>
              <w:t>123,746</w:t>
            </w:r>
            <w:r w:rsidRPr="00E05961">
              <w:rPr>
                <w:b/>
                <w:lang w:eastAsia="en-AU"/>
              </w:rPr>
              <w:fldChar w:fldCharType="end"/>
            </w:r>
          </w:p>
        </w:tc>
        <w:tc>
          <w:tcPr>
            <w:tcW w:w="1078" w:type="dxa"/>
            <w:tcBorders>
              <w:top w:val="nil"/>
              <w:left w:val="nil"/>
              <w:bottom w:val="single" w:sz="8" w:space="0" w:color="auto"/>
              <w:right w:val="single" w:sz="8" w:space="0" w:color="auto"/>
            </w:tcBorders>
            <w:shd w:val="clear" w:color="auto" w:fill="D9D9D9" w:themeFill="background1" w:themeFillShade="D9"/>
            <w:vAlign w:val="center"/>
          </w:tcPr>
          <w:p w14:paraId="5622E8BE" w14:textId="2DBA1EED" w:rsidR="00C67142" w:rsidRPr="00E05961" w:rsidRDefault="006E6F82" w:rsidP="00E05961">
            <w:pPr>
              <w:jc w:val="right"/>
              <w:rPr>
                <w:b/>
                <w:lang w:eastAsia="en-AU"/>
              </w:rPr>
            </w:pPr>
            <w:r w:rsidRPr="00E05961">
              <w:rPr>
                <w:b/>
                <w:lang w:eastAsia="en-AU"/>
              </w:rPr>
              <w:t>200,0</w:t>
            </w:r>
            <w:r w:rsidR="00AE112B" w:rsidRPr="00E05961">
              <w:rPr>
                <w:b/>
                <w:lang w:eastAsia="en-AU"/>
              </w:rPr>
              <w:t>72</w:t>
            </w:r>
          </w:p>
        </w:tc>
      </w:tr>
    </w:tbl>
    <w:p w14:paraId="6544A4B4" w14:textId="7073B387" w:rsidR="00CF5CE6" w:rsidRPr="00A33BCC" w:rsidRDefault="00CF5CE6" w:rsidP="00DC4782">
      <w:pPr>
        <w:pStyle w:val="ListParagraph"/>
        <w:numPr>
          <w:ilvl w:val="0"/>
          <w:numId w:val="16"/>
        </w:numPr>
      </w:pPr>
      <w:r w:rsidRPr="00A33BCC">
        <w:t xml:space="preserve">Part year result as </w:t>
      </w:r>
      <w:r w:rsidR="00A33BCC">
        <w:t>the Queensland State</w:t>
      </w:r>
      <w:r w:rsidR="00A24D5D">
        <w:t>-</w:t>
      </w:r>
      <w:r w:rsidR="00A33BCC">
        <w:t xml:space="preserve">wide Tenants’ Advice and Referral Service </w:t>
      </w:r>
      <w:r w:rsidR="000C0940">
        <w:t>c</w:t>
      </w:r>
      <w:r w:rsidRPr="00A33BCC">
        <w:t>ommenced 1 October 2015</w:t>
      </w:r>
    </w:p>
    <w:p w14:paraId="0C2EC411" w14:textId="5CEA7791" w:rsidR="00D675BC" w:rsidRDefault="00D675BC">
      <w:pPr>
        <w:spacing w:line="259" w:lineRule="auto"/>
      </w:pPr>
      <w:r>
        <w:br w:type="page"/>
      </w:r>
    </w:p>
    <w:p w14:paraId="29F9CF37" w14:textId="168DA9E0" w:rsidR="000075DD" w:rsidRPr="000075DD" w:rsidRDefault="000075DD" w:rsidP="000075DD"/>
    <w:tbl>
      <w:tblPr>
        <w:tblW w:w="9351" w:type="dxa"/>
        <w:tblLook w:val="04A0" w:firstRow="1" w:lastRow="0" w:firstColumn="1" w:lastColumn="0" w:noHBand="0" w:noVBand="1"/>
      </w:tblPr>
      <w:tblGrid>
        <w:gridCol w:w="5980"/>
        <w:gridCol w:w="1140"/>
        <w:gridCol w:w="1036"/>
        <w:gridCol w:w="1195"/>
      </w:tblGrid>
      <w:tr w:rsidR="000075DD" w:rsidRPr="00D675BC" w14:paraId="465B3A7D" w14:textId="77777777" w:rsidTr="00E05961">
        <w:trPr>
          <w:trHeight w:val="436"/>
        </w:trPr>
        <w:tc>
          <w:tcPr>
            <w:tcW w:w="5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5DD3026" w14:textId="77777777" w:rsidR="000075DD" w:rsidRPr="00D675BC" w:rsidRDefault="000075DD" w:rsidP="000075DD">
            <w:pPr>
              <w:rPr>
                <w:b/>
              </w:rPr>
            </w:pPr>
            <w:r w:rsidRPr="00D675BC">
              <w:rPr>
                <w:b/>
              </w:rPr>
              <w:t>Measure</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18CEE88" w14:textId="77777777" w:rsidR="000075DD" w:rsidRPr="00D675BC" w:rsidRDefault="000075DD" w:rsidP="00D675BC">
            <w:pPr>
              <w:jc w:val="right"/>
              <w:rPr>
                <w:b/>
              </w:rPr>
            </w:pPr>
            <w:r w:rsidRPr="00D675BC">
              <w:rPr>
                <w:b/>
              </w:rPr>
              <w:t>2014-15</w:t>
            </w:r>
          </w:p>
        </w:tc>
        <w:tc>
          <w:tcPr>
            <w:tcW w:w="103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A7B13E" w14:textId="77777777" w:rsidR="000075DD" w:rsidRPr="00D675BC" w:rsidRDefault="000075DD" w:rsidP="00D675BC">
            <w:pPr>
              <w:jc w:val="right"/>
              <w:rPr>
                <w:b/>
              </w:rPr>
            </w:pPr>
            <w:r w:rsidRPr="00D675BC">
              <w:rPr>
                <w:b/>
              </w:rPr>
              <w:t>2015-16</w:t>
            </w:r>
          </w:p>
        </w:tc>
        <w:tc>
          <w:tcPr>
            <w:tcW w:w="119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A478F90" w14:textId="77777777" w:rsidR="000075DD" w:rsidRPr="00D675BC" w:rsidRDefault="000075DD" w:rsidP="00D675BC">
            <w:pPr>
              <w:jc w:val="right"/>
              <w:rPr>
                <w:b/>
              </w:rPr>
            </w:pPr>
            <w:r w:rsidRPr="00D675BC">
              <w:rPr>
                <w:b/>
              </w:rPr>
              <w:t>2016-17</w:t>
            </w:r>
          </w:p>
        </w:tc>
      </w:tr>
      <w:tr w:rsidR="000075DD" w:rsidRPr="000075DD" w14:paraId="1CB0AE64" w14:textId="77777777" w:rsidTr="000075DD">
        <w:trPr>
          <w:trHeight w:val="919"/>
        </w:trPr>
        <w:tc>
          <w:tcPr>
            <w:tcW w:w="5980" w:type="dxa"/>
            <w:tcBorders>
              <w:top w:val="nil"/>
              <w:left w:val="single" w:sz="4" w:space="0" w:color="auto"/>
              <w:bottom w:val="single" w:sz="4" w:space="0" w:color="auto"/>
              <w:right w:val="single" w:sz="4" w:space="0" w:color="auto"/>
            </w:tcBorders>
            <w:shd w:val="clear" w:color="auto" w:fill="auto"/>
            <w:hideMark/>
          </w:tcPr>
          <w:p w14:paraId="34DFA993" w14:textId="77777777" w:rsidR="000075DD" w:rsidRPr="000075DD" w:rsidRDefault="000075DD" w:rsidP="000075DD">
            <w:r w:rsidRPr="000075DD">
              <w:t>New households assisted into Government-managed social rental housing who were in very high or high need (%)</w:t>
            </w:r>
          </w:p>
        </w:tc>
        <w:tc>
          <w:tcPr>
            <w:tcW w:w="1140" w:type="dxa"/>
            <w:tcBorders>
              <w:top w:val="nil"/>
              <w:left w:val="nil"/>
              <w:bottom w:val="single" w:sz="4" w:space="0" w:color="auto"/>
              <w:right w:val="single" w:sz="4" w:space="0" w:color="auto"/>
            </w:tcBorders>
            <w:shd w:val="clear" w:color="auto" w:fill="auto"/>
            <w:noWrap/>
            <w:vAlign w:val="bottom"/>
            <w:hideMark/>
          </w:tcPr>
          <w:p w14:paraId="03792FEB" w14:textId="77777777" w:rsidR="000075DD" w:rsidRPr="000075DD" w:rsidRDefault="000075DD" w:rsidP="00D675BC">
            <w:pPr>
              <w:jc w:val="right"/>
            </w:pPr>
            <w:r w:rsidRPr="000075DD">
              <w:t>91.6</w:t>
            </w:r>
          </w:p>
        </w:tc>
        <w:tc>
          <w:tcPr>
            <w:tcW w:w="1036" w:type="dxa"/>
            <w:tcBorders>
              <w:top w:val="nil"/>
              <w:left w:val="nil"/>
              <w:bottom w:val="single" w:sz="4" w:space="0" w:color="auto"/>
              <w:right w:val="single" w:sz="4" w:space="0" w:color="auto"/>
            </w:tcBorders>
            <w:shd w:val="clear" w:color="auto" w:fill="auto"/>
            <w:noWrap/>
            <w:vAlign w:val="bottom"/>
            <w:hideMark/>
          </w:tcPr>
          <w:p w14:paraId="5B2FF0BC" w14:textId="77777777" w:rsidR="000075DD" w:rsidRPr="000075DD" w:rsidRDefault="000075DD" w:rsidP="00D675BC">
            <w:pPr>
              <w:jc w:val="right"/>
            </w:pPr>
            <w:r w:rsidRPr="000075DD">
              <w:t>91</w:t>
            </w:r>
          </w:p>
        </w:tc>
        <w:tc>
          <w:tcPr>
            <w:tcW w:w="1195" w:type="dxa"/>
            <w:tcBorders>
              <w:top w:val="nil"/>
              <w:left w:val="nil"/>
              <w:bottom w:val="single" w:sz="4" w:space="0" w:color="auto"/>
              <w:right w:val="single" w:sz="4" w:space="0" w:color="auto"/>
            </w:tcBorders>
            <w:shd w:val="clear" w:color="auto" w:fill="auto"/>
            <w:noWrap/>
            <w:vAlign w:val="bottom"/>
            <w:hideMark/>
          </w:tcPr>
          <w:p w14:paraId="59333622" w14:textId="77777777" w:rsidR="000075DD" w:rsidRPr="000075DD" w:rsidRDefault="000075DD" w:rsidP="00D675BC">
            <w:pPr>
              <w:jc w:val="right"/>
            </w:pPr>
            <w:r w:rsidRPr="000075DD">
              <w:t>91.8</w:t>
            </w:r>
          </w:p>
        </w:tc>
      </w:tr>
      <w:tr w:rsidR="000075DD" w:rsidRPr="000075DD" w14:paraId="01FEC1AB" w14:textId="77777777" w:rsidTr="00D675BC">
        <w:trPr>
          <w:trHeight w:val="468"/>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14:paraId="411EE55B" w14:textId="77777777" w:rsidR="000075DD" w:rsidRPr="000075DD" w:rsidRDefault="000075DD" w:rsidP="000075DD">
            <w:r w:rsidRPr="000075DD">
              <w:t>2016-17 Target</w:t>
            </w:r>
          </w:p>
        </w:tc>
        <w:tc>
          <w:tcPr>
            <w:tcW w:w="1140" w:type="dxa"/>
            <w:tcBorders>
              <w:top w:val="nil"/>
              <w:left w:val="nil"/>
              <w:bottom w:val="single" w:sz="4" w:space="0" w:color="auto"/>
              <w:right w:val="single" w:sz="4" w:space="0" w:color="auto"/>
            </w:tcBorders>
            <w:shd w:val="clear" w:color="auto" w:fill="auto"/>
            <w:noWrap/>
            <w:vAlign w:val="bottom"/>
            <w:hideMark/>
          </w:tcPr>
          <w:p w14:paraId="5951A248" w14:textId="77777777" w:rsidR="000075DD" w:rsidRPr="000075DD" w:rsidRDefault="000075DD" w:rsidP="00D675BC">
            <w:pPr>
              <w:jc w:val="right"/>
            </w:pPr>
            <w:r w:rsidRPr="000075DD">
              <w:t>90</w:t>
            </w:r>
          </w:p>
        </w:tc>
        <w:tc>
          <w:tcPr>
            <w:tcW w:w="1036" w:type="dxa"/>
            <w:tcBorders>
              <w:top w:val="nil"/>
              <w:left w:val="nil"/>
              <w:bottom w:val="single" w:sz="4" w:space="0" w:color="auto"/>
              <w:right w:val="single" w:sz="4" w:space="0" w:color="auto"/>
            </w:tcBorders>
            <w:shd w:val="clear" w:color="auto" w:fill="auto"/>
            <w:noWrap/>
            <w:vAlign w:val="bottom"/>
            <w:hideMark/>
          </w:tcPr>
          <w:p w14:paraId="2BCB9646" w14:textId="77777777" w:rsidR="000075DD" w:rsidRPr="000075DD" w:rsidRDefault="000075DD" w:rsidP="00D675BC">
            <w:pPr>
              <w:jc w:val="right"/>
            </w:pPr>
            <w:r w:rsidRPr="000075DD">
              <w:t>90</w:t>
            </w:r>
          </w:p>
        </w:tc>
        <w:tc>
          <w:tcPr>
            <w:tcW w:w="1195" w:type="dxa"/>
            <w:tcBorders>
              <w:top w:val="nil"/>
              <w:left w:val="nil"/>
              <w:bottom w:val="single" w:sz="4" w:space="0" w:color="auto"/>
              <w:right w:val="single" w:sz="4" w:space="0" w:color="auto"/>
            </w:tcBorders>
            <w:shd w:val="clear" w:color="auto" w:fill="auto"/>
            <w:noWrap/>
            <w:vAlign w:val="bottom"/>
            <w:hideMark/>
          </w:tcPr>
          <w:p w14:paraId="3C50C768" w14:textId="77777777" w:rsidR="000075DD" w:rsidRPr="000075DD" w:rsidRDefault="000075DD" w:rsidP="00D675BC">
            <w:pPr>
              <w:jc w:val="right"/>
            </w:pPr>
            <w:r w:rsidRPr="000075DD">
              <w:t>90</w:t>
            </w:r>
          </w:p>
        </w:tc>
      </w:tr>
    </w:tbl>
    <w:p w14:paraId="7E49186F" w14:textId="67823E01" w:rsidR="00CF5CE6" w:rsidRPr="000075DD" w:rsidRDefault="00CF5CE6" w:rsidP="000075DD"/>
    <w:tbl>
      <w:tblPr>
        <w:tblW w:w="9360" w:type="dxa"/>
        <w:tblLook w:val="04A0" w:firstRow="1" w:lastRow="0" w:firstColumn="1" w:lastColumn="0" w:noHBand="0" w:noVBand="1"/>
      </w:tblPr>
      <w:tblGrid>
        <w:gridCol w:w="5980"/>
        <w:gridCol w:w="1140"/>
        <w:gridCol w:w="1097"/>
        <w:gridCol w:w="1143"/>
      </w:tblGrid>
      <w:tr w:rsidR="000075DD" w:rsidRPr="00D675BC" w14:paraId="66038835" w14:textId="77777777" w:rsidTr="00E05961">
        <w:trPr>
          <w:trHeight w:val="267"/>
        </w:trPr>
        <w:tc>
          <w:tcPr>
            <w:tcW w:w="5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46A9338" w14:textId="77777777" w:rsidR="000075DD" w:rsidRPr="00D675BC" w:rsidRDefault="000075DD" w:rsidP="000075DD">
            <w:pPr>
              <w:rPr>
                <w:b/>
              </w:rPr>
            </w:pPr>
            <w:r w:rsidRPr="00D675BC">
              <w:rPr>
                <w:b/>
              </w:rPr>
              <w:t>Measure</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79E7FB8" w14:textId="77777777" w:rsidR="000075DD" w:rsidRPr="00D675BC" w:rsidRDefault="000075DD" w:rsidP="00D675BC">
            <w:pPr>
              <w:jc w:val="right"/>
              <w:rPr>
                <w:b/>
              </w:rPr>
            </w:pPr>
            <w:r w:rsidRPr="00D675BC">
              <w:rPr>
                <w:b/>
              </w:rPr>
              <w:t>2014-15</w:t>
            </w:r>
          </w:p>
        </w:tc>
        <w:tc>
          <w:tcPr>
            <w:tcW w:w="109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968E68" w14:textId="77777777" w:rsidR="000075DD" w:rsidRPr="00D675BC" w:rsidRDefault="000075DD" w:rsidP="00D675BC">
            <w:pPr>
              <w:jc w:val="right"/>
              <w:rPr>
                <w:b/>
              </w:rPr>
            </w:pPr>
            <w:r w:rsidRPr="00D675BC">
              <w:rPr>
                <w:b/>
              </w:rPr>
              <w:t>2015-16</w:t>
            </w:r>
          </w:p>
        </w:tc>
        <w:tc>
          <w:tcPr>
            <w:tcW w:w="11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8E22073" w14:textId="77777777" w:rsidR="000075DD" w:rsidRPr="00D675BC" w:rsidRDefault="000075DD" w:rsidP="00D675BC">
            <w:pPr>
              <w:jc w:val="right"/>
              <w:rPr>
                <w:b/>
              </w:rPr>
            </w:pPr>
            <w:r w:rsidRPr="00D675BC">
              <w:rPr>
                <w:b/>
              </w:rPr>
              <w:t>2016-17</w:t>
            </w:r>
          </w:p>
        </w:tc>
      </w:tr>
      <w:tr w:rsidR="000075DD" w:rsidRPr="000075DD" w14:paraId="357CBEFA" w14:textId="77777777" w:rsidTr="000075DD">
        <w:trPr>
          <w:trHeight w:val="919"/>
        </w:trPr>
        <w:tc>
          <w:tcPr>
            <w:tcW w:w="5980" w:type="dxa"/>
            <w:tcBorders>
              <w:top w:val="nil"/>
              <w:left w:val="single" w:sz="4" w:space="0" w:color="auto"/>
              <w:bottom w:val="single" w:sz="4" w:space="0" w:color="auto"/>
              <w:right w:val="single" w:sz="4" w:space="0" w:color="auto"/>
            </w:tcBorders>
            <w:shd w:val="clear" w:color="auto" w:fill="auto"/>
            <w:vAlign w:val="bottom"/>
            <w:hideMark/>
          </w:tcPr>
          <w:p w14:paraId="308D4E71" w14:textId="77777777" w:rsidR="000075DD" w:rsidRPr="000075DD" w:rsidRDefault="000075DD" w:rsidP="000075DD">
            <w:r w:rsidRPr="000075DD">
              <w:t>Average wait time to allocation for assistance with Government-managed social rental housing for clients in very high or high need (months)</w:t>
            </w:r>
          </w:p>
        </w:tc>
        <w:tc>
          <w:tcPr>
            <w:tcW w:w="1140" w:type="dxa"/>
            <w:tcBorders>
              <w:top w:val="nil"/>
              <w:left w:val="nil"/>
              <w:bottom w:val="single" w:sz="4" w:space="0" w:color="auto"/>
              <w:right w:val="single" w:sz="4" w:space="0" w:color="auto"/>
            </w:tcBorders>
            <w:shd w:val="clear" w:color="auto" w:fill="auto"/>
            <w:noWrap/>
            <w:vAlign w:val="bottom"/>
            <w:hideMark/>
          </w:tcPr>
          <w:p w14:paraId="38072230" w14:textId="77777777" w:rsidR="000075DD" w:rsidRPr="000075DD" w:rsidRDefault="000075DD" w:rsidP="00D675BC">
            <w:pPr>
              <w:jc w:val="right"/>
            </w:pPr>
            <w:r w:rsidRPr="000075DD">
              <w:t>8.1</w:t>
            </w:r>
          </w:p>
        </w:tc>
        <w:tc>
          <w:tcPr>
            <w:tcW w:w="1097" w:type="dxa"/>
            <w:tcBorders>
              <w:top w:val="nil"/>
              <w:left w:val="nil"/>
              <w:bottom w:val="single" w:sz="4" w:space="0" w:color="auto"/>
              <w:right w:val="single" w:sz="4" w:space="0" w:color="auto"/>
            </w:tcBorders>
            <w:shd w:val="clear" w:color="auto" w:fill="auto"/>
            <w:noWrap/>
            <w:vAlign w:val="bottom"/>
            <w:hideMark/>
          </w:tcPr>
          <w:p w14:paraId="04B75CD0" w14:textId="77777777" w:rsidR="000075DD" w:rsidRPr="000075DD" w:rsidRDefault="000075DD" w:rsidP="00D675BC">
            <w:pPr>
              <w:jc w:val="right"/>
            </w:pPr>
            <w:r w:rsidRPr="000075DD">
              <w:t>7.1</w:t>
            </w:r>
          </w:p>
        </w:tc>
        <w:tc>
          <w:tcPr>
            <w:tcW w:w="1143" w:type="dxa"/>
            <w:tcBorders>
              <w:top w:val="nil"/>
              <w:left w:val="nil"/>
              <w:bottom w:val="single" w:sz="4" w:space="0" w:color="auto"/>
              <w:right w:val="single" w:sz="4" w:space="0" w:color="auto"/>
            </w:tcBorders>
            <w:shd w:val="clear" w:color="auto" w:fill="auto"/>
            <w:noWrap/>
            <w:vAlign w:val="bottom"/>
            <w:hideMark/>
          </w:tcPr>
          <w:p w14:paraId="09705515" w14:textId="77777777" w:rsidR="000075DD" w:rsidRPr="000075DD" w:rsidRDefault="000075DD" w:rsidP="00D675BC">
            <w:pPr>
              <w:jc w:val="right"/>
            </w:pPr>
            <w:r w:rsidRPr="000075DD">
              <w:t>6.5</w:t>
            </w:r>
          </w:p>
        </w:tc>
      </w:tr>
      <w:tr w:rsidR="000075DD" w:rsidRPr="000075DD" w14:paraId="35D110EC" w14:textId="77777777" w:rsidTr="00D675BC">
        <w:trPr>
          <w:trHeight w:val="493"/>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14:paraId="0DB74714" w14:textId="77777777" w:rsidR="000075DD" w:rsidRPr="000075DD" w:rsidRDefault="000075DD" w:rsidP="000075DD">
            <w:r w:rsidRPr="000075DD">
              <w:t>2016-17 Target</w:t>
            </w:r>
          </w:p>
        </w:tc>
        <w:tc>
          <w:tcPr>
            <w:tcW w:w="1140" w:type="dxa"/>
            <w:tcBorders>
              <w:top w:val="nil"/>
              <w:left w:val="nil"/>
              <w:bottom w:val="single" w:sz="4" w:space="0" w:color="auto"/>
              <w:right w:val="single" w:sz="4" w:space="0" w:color="auto"/>
            </w:tcBorders>
            <w:shd w:val="clear" w:color="auto" w:fill="auto"/>
            <w:noWrap/>
            <w:vAlign w:val="bottom"/>
            <w:hideMark/>
          </w:tcPr>
          <w:p w14:paraId="4B2E7DF7" w14:textId="77777777" w:rsidR="000075DD" w:rsidRPr="000075DD" w:rsidRDefault="000075DD" w:rsidP="00D675BC">
            <w:pPr>
              <w:jc w:val="right"/>
            </w:pPr>
            <w:r w:rsidRPr="000075DD">
              <w:t>8</w:t>
            </w:r>
          </w:p>
        </w:tc>
        <w:tc>
          <w:tcPr>
            <w:tcW w:w="1097" w:type="dxa"/>
            <w:tcBorders>
              <w:top w:val="nil"/>
              <w:left w:val="nil"/>
              <w:bottom w:val="single" w:sz="4" w:space="0" w:color="auto"/>
              <w:right w:val="single" w:sz="4" w:space="0" w:color="auto"/>
            </w:tcBorders>
            <w:shd w:val="clear" w:color="auto" w:fill="auto"/>
            <w:noWrap/>
            <w:vAlign w:val="bottom"/>
            <w:hideMark/>
          </w:tcPr>
          <w:p w14:paraId="51A3534E" w14:textId="77777777" w:rsidR="000075DD" w:rsidRPr="000075DD" w:rsidRDefault="000075DD" w:rsidP="00D675BC">
            <w:pPr>
              <w:jc w:val="right"/>
            </w:pPr>
            <w:r w:rsidRPr="000075DD">
              <w:t>8</w:t>
            </w:r>
          </w:p>
        </w:tc>
        <w:tc>
          <w:tcPr>
            <w:tcW w:w="1143" w:type="dxa"/>
            <w:tcBorders>
              <w:top w:val="nil"/>
              <w:left w:val="nil"/>
              <w:bottom w:val="single" w:sz="4" w:space="0" w:color="auto"/>
              <w:right w:val="single" w:sz="4" w:space="0" w:color="auto"/>
            </w:tcBorders>
            <w:shd w:val="clear" w:color="auto" w:fill="auto"/>
            <w:noWrap/>
            <w:vAlign w:val="bottom"/>
            <w:hideMark/>
          </w:tcPr>
          <w:p w14:paraId="01BFCABB" w14:textId="77777777" w:rsidR="000075DD" w:rsidRPr="000075DD" w:rsidRDefault="000075DD" w:rsidP="00D675BC">
            <w:pPr>
              <w:jc w:val="right"/>
            </w:pPr>
            <w:r w:rsidRPr="000075DD">
              <w:t>8</w:t>
            </w:r>
          </w:p>
        </w:tc>
      </w:tr>
    </w:tbl>
    <w:p w14:paraId="2E9160A0" w14:textId="77777777" w:rsidR="000075DD" w:rsidRDefault="000075DD" w:rsidP="00CF0A4C">
      <w:pPr>
        <w:sectPr w:rsidR="000075DD" w:rsidSect="00A33BCC">
          <w:type w:val="continuous"/>
          <w:pgSz w:w="11906" w:h="16838"/>
          <w:pgMar w:top="1440" w:right="1021" w:bottom="1440" w:left="1021" w:header="709" w:footer="709" w:gutter="0"/>
          <w:cols w:space="397"/>
          <w:docGrid w:linePitch="360"/>
        </w:sectPr>
      </w:pPr>
    </w:p>
    <w:p w14:paraId="20946927" w14:textId="67E582FD" w:rsidR="00A777E2" w:rsidRPr="00321F37" w:rsidRDefault="00A777E2" w:rsidP="00792F33">
      <w:pPr>
        <w:pStyle w:val="ARHeading4"/>
      </w:pPr>
      <w:r w:rsidRPr="004F0E13">
        <w:t xml:space="preserve">Improving </w:t>
      </w:r>
      <w:r>
        <w:t>outcomes</w:t>
      </w:r>
      <w:r w:rsidRPr="004F0E13">
        <w:t xml:space="preserve"> in A</w:t>
      </w:r>
      <w:r>
        <w:t>boriginal and Torres Strait Islander</w:t>
      </w:r>
      <w:r w:rsidRPr="004F0E13">
        <w:t xml:space="preserve"> communities</w:t>
      </w:r>
    </w:p>
    <w:p w14:paraId="30506523" w14:textId="6E8D5235" w:rsidR="00A777E2" w:rsidRDefault="00A777E2" w:rsidP="00CF0A4C">
      <w:r w:rsidRPr="00A331FA">
        <w:t xml:space="preserve">In </w:t>
      </w:r>
      <w:r w:rsidR="000C39C3">
        <w:t>2016–17</w:t>
      </w:r>
      <w:r>
        <w:t>,</w:t>
      </w:r>
      <w:r w:rsidRPr="00A331FA">
        <w:t xml:space="preserve"> we</w:t>
      </w:r>
      <w:r>
        <w:t>:</w:t>
      </w:r>
    </w:p>
    <w:p w14:paraId="1744CF67" w14:textId="3D70EAF8" w:rsidR="00A777E2" w:rsidRPr="00A331FA" w:rsidRDefault="00A777E2" w:rsidP="00096C6C">
      <w:pPr>
        <w:pStyle w:val="Bullets"/>
      </w:pPr>
      <w:r w:rsidRPr="0038190D">
        <w:t>continued</w:t>
      </w:r>
      <w:r w:rsidRPr="00A331FA">
        <w:t xml:space="preserve"> to develop and refine processes supporting home ownership on Aboriginal and Torres Strait Islander land, working to resolve outstanding Land Holding Act and Block</w:t>
      </w:r>
      <w:r w:rsidR="00A24D5D" w:rsidRPr="690957E2">
        <w:t xml:space="preserve"> </w:t>
      </w:r>
      <w:r w:rsidRPr="00A331FA">
        <w:t xml:space="preserve">holder entitlements and to make social housing dwellings available for </w:t>
      </w:r>
      <w:r>
        <w:t>purchase. In particular, we ensured</w:t>
      </w:r>
      <w:r w:rsidRPr="00A331FA">
        <w:t xml:space="preserve"> dwellings transferred to home ownership were in good condition by completing condition assessments on 48 dwellings, approving works on 39 dwellings and completing works on six dwellings</w:t>
      </w:r>
      <w:r w:rsidRPr="690957E2">
        <w:t>.</w:t>
      </w:r>
    </w:p>
    <w:p w14:paraId="45D5542C" w14:textId="77777777" w:rsidR="00A777E2" w:rsidRPr="00A331FA" w:rsidRDefault="00A777E2" w:rsidP="00096C6C">
      <w:pPr>
        <w:pStyle w:val="Bullets"/>
      </w:pPr>
      <w:r w:rsidRPr="00A331FA">
        <w:t xml:space="preserve">responded to six requests for a 99-year home ownership </w:t>
      </w:r>
      <w:r w:rsidRPr="00C95930">
        <w:t>lease</w:t>
      </w:r>
      <w:r w:rsidRPr="00A331FA">
        <w:t>, with one lease finalised</w:t>
      </w:r>
    </w:p>
    <w:p w14:paraId="240AE6D7" w14:textId="5BF700BB" w:rsidR="00A777E2" w:rsidRPr="00A331FA" w:rsidRDefault="00A777E2" w:rsidP="00096C6C">
      <w:pPr>
        <w:pStyle w:val="Bullets"/>
      </w:pPr>
      <w:r w:rsidRPr="00A331FA">
        <w:t>delivered NRL Cowboys House, a 52-unit facility</w:t>
      </w:r>
      <w:r w:rsidR="00FC6C78">
        <w:t xml:space="preserve"> in Townsville</w:t>
      </w:r>
      <w:r w:rsidRPr="00A331FA">
        <w:t xml:space="preserve">, </w:t>
      </w:r>
      <w:r>
        <w:t>for</w:t>
      </w:r>
      <w:r w:rsidRPr="00A331FA">
        <w:t xml:space="preserve"> students from Aboriginal and Torres Strait Islander communities pursuing employment, education and training opportunities</w:t>
      </w:r>
    </w:p>
    <w:p w14:paraId="51468B30" w14:textId="77777777" w:rsidR="00A777E2" w:rsidRPr="00A331FA" w:rsidRDefault="00A777E2" w:rsidP="00096C6C">
      <w:pPr>
        <w:pStyle w:val="Bullets"/>
      </w:pPr>
      <w:r w:rsidRPr="007C2CC5">
        <w:t>d</w:t>
      </w:r>
      <w:r>
        <w:t>elivered 106 new dwellings</w:t>
      </w:r>
      <w:r w:rsidRPr="00A331FA">
        <w:t xml:space="preserve"> and commenc</w:t>
      </w:r>
      <w:r>
        <w:t>ed construction of 243 new dwellings to</w:t>
      </w:r>
      <w:r w:rsidRPr="00A331FA">
        <w:t xml:space="preserve"> reduc</w:t>
      </w:r>
      <w:r>
        <w:t>e</w:t>
      </w:r>
      <w:r w:rsidRPr="00A331FA">
        <w:t xml:space="preserve"> overcrowding</w:t>
      </w:r>
    </w:p>
    <w:p w14:paraId="5C9BBCBB" w14:textId="3743FF02" w:rsidR="00F06AFC" w:rsidRDefault="00F06AFC" w:rsidP="00D675BC">
      <w:pPr>
        <w:pStyle w:val="Bullets"/>
      </w:pPr>
      <w:r>
        <w:t>achieved all agreed National Partnership on Remote Housing targets and exceeded all performance benchmarks</w:t>
      </w:r>
    </w:p>
    <w:p w14:paraId="1A569C69" w14:textId="52E8FA3C" w:rsidR="00A777E2" w:rsidRPr="00A331FA" w:rsidRDefault="00A777E2" w:rsidP="00D675BC">
      <w:pPr>
        <w:pStyle w:val="Bullets"/>
      </w:pPr>
      <w:r w:rsidRPr="00A331FA">
        <w:t xml:space="preserve">completed </w:t>
      </w:r>
      <w:r w:rsidR="00FC6C78">
        <w:t xml:space="preserve">the </w:t>
      </w:r>
      <w:r w:rsidRPr="00A331FA">
        <w:t xml:space="preserve">construction of Dale Parker Place, a supported specialist accommodation facility in Townsville </w:t>
      </w:r>
      <w:r w:rsidRPr="00A331FA">
        <w:t>consisting of 40 self-contained units providing shelter for rough sleepers</w:t>
      </w:r>
    </w:p>
    <w:p w14:paraId="07BB382C" w14:textId="77777777" w:rsidR="00A777E2" w:rsidRPr="007B54AB" w:rsidRDefault="00A777E2" w:rsidP="00D675BC">
      <w:pPr>
        <w:pStyle w:val="Bullets"/>
        <w:rPr>
          <w:b/>
          <w:bCs/>
        </w:rPr>
      </w:pPr>
      <w:r w:rsidRPr="00A331FA">
        <w:t>maintained and refurbished existing dwellings in Aboriginal and Torres Strait Islander communities.</w:t>
      </w:r>
    </w:p>
    <w:p w14:paraId="3466A329" w14:textId="77777777" w:rsidR="00A777E2" w:rsidRPr="00321F37" w:rsidRDefault="00A777E2" w:rsidP="00792F33">
      <w:pPr>
        <w:pStyle w:val="ARHeading4"/>
      </w:pPr>
      <w:r w:rsidRPr="00321F37">
        <w:t>Reducing homelessness</w:t>
      </w:r>
    </w:p>
    <w:p w14:paraId="608E380E" w14:textId="2DE3FE45" w:rsidR="00A777E2" w:rsidRPr="00A331FA" w:rsidRDefault="00A777E2" w:rsidP="00CF0A4C">
      <w:r w:rsidRPr="00A331FA">
        <w:t xml:space="preserve">In </w:t>
      </w:r>
      <w:r w:rsidR="000C39C3">
        <w:t>2016–17</w:t>
      </w:r>
      <w:r>
        <w:t>,</w:t>
      </w:r>
      <w:r w:rsidRPr="00A331FA">
        <w:t xml:space="preserve"> we:</w:t>
      </w:r>
    </w:p>
    <w:p w14:paraId="4B095AF6" w14:textId="381BDC9A" w:rsidR="00A777E2" w:rsidRDefault="00A777E2" w:rsidP="00096C6C">
      <w:pPr>
        <w:pStyle w:val="Bullets"/>
      </w:pPr>
      <w:r>
        <w:t xml:space="preserve">launched the Dignity First Fund </w:t>
      </w:r>
      <w:r w:rsidRPr="00A331FA">
        <w:t>to assist Queenslanders experiencing homelessness to live with dignity</w:t>
      </w:r>
      <w:r w:rsidR="00DA6E47">
        <w:t xml:space="preserve"> and approved:</w:t>
      </w:r>
    </w:p>
    <w:p w14:paraId="40F35C18" w14:textId="1E9E6BF8" w:rsidR="00A777E2" w:rsidRPr="00A777E2" w:rsidRDefault="00A777E2" w:rsidP="00096C6C">
      <w:pPr>
        <w:pStyle w:val="ARsub-bullets"/>
      </w:pPr>
      <w:r w:rsidRPr="00A777E2">
        <w:t>24 projects under round one</w:t>
      </w:r>
    </w:p>
    <w:p w14:paraId="5320DE8F" w14:textId="3EA0C6D6" w:rsidR="00A777E2" w:rsidRPr="00A777E2" w:rsidRDefault="00A777E2" w:rsidP="00096C6C">
      <w:pPr>
        <w:pStyle w:val="ARsub-bullets"/>
      </w:pPr>
      <w:r w:rsidRPr="00A777E2">
        <w:t>31 projects under round two</w:t>
      </w:r>
    </w:p>
    <w:p w14:paraId="2F06E59F" w14:textId="3BDD1087" w:rsidR="00A777E2" w:rsidRPr="00A331FA" w:rsidRDefault="00A777E2" w:rsidP="00096C6C">
      <w:pPr>
        <w:pStyle w:val="Bullets"/>
      </w:pPr>
      <w:r w:rsidRPr="00A331FA">
        <w:t xml:space="preserve">commenced </w:t>
      </w:r>
      <w:r w:rsidR="00DA6E47">
        <w:t xml:space="preserve">the </w:t>
      </w:r>
      <w:r w:rsidRPr="00A331FA">
        <w:t>delivery</w:t>
      </w:r>
      <w:r>
        <w:t xml:space="preserve"> of three new initiatives funded</w:t>
      </w:r>
      <w:r w:rsidRPr="00A331FA">
        <w:t xml:space="preserve"> under </w:t>
      </w:r>
      <w:r>
        <w:t xml:space="preserve">the </w:t>
      </w:r>
      <w:r w:rsidRPr="00A331FA">
        <w:t>N</w:t>
      </w:r>
      <w:r>
        <w:t xml:space="preserve">ational </w:t>
      </w:r>
      <w:r w:rsidRPr="00A331FA">
        <w:t>P</w:t>
      </w:r>
      <w:r>
        <w:t xml:space="preserve">artnership </w:t>
      </w:r>
      <w:r w:rsidRPr="00A331FA">
        <w:t>A</w:t>
      </w:r>
      <w:r>
        <w:t xml:space="preserve">greement on </w:t>
      </w:r>
      <w:r w:rsidRPr="00A331FA">
        <w:t>H</w:t>
      </w:r>
      <w:r>
        <w:t>omelessness</w:t>
      </w:r>
      <w:r w:rsidRPr="690957E2">
        <w:t xml:space="preserve"> –</w:t>
      </w:r>
      <w:r w:rsidRPr="00A331FA">
        <w:t xml:space="preserve"> D</w:t>
      </w:r>
      <w:r>
        <w:t xml:space="preserve">omestic and </w:t>
      </w:r>
      <w:r w:rsidRPr="00A331FA">
        <w:t>F</w:t>
      </w:r>
      <w:r>
        <w:t xml:space="preserve">amily </w:t>
      </w:r>
      <w:r w:rsidRPr="00A331FA">
        <w:t>V</w:t>
      </w:r>
      <w:r>
        <w:t>iolence (DFV)</w:t>
      </w:r>
      <w:r w:rsidRPr="00A331FA">
        <w:t xml:space="preserve"> Mobile Support, Youth Mobile Support, </w:t>
      </w:r>
      <w:r w:rsidR="00C41E23">
        <w:t xml:space="preserve">and </w:t>
      </w:r>
      <w:r w:rsidRPr="00A331FA">
        <w:t>Multi-</w:t>
      </w:r>
      <w:r w:rsidRPr="00710AC4">
        <w:t>Disciplinary</w:t>
      </w:r>
      <w:r w:rsidRPr="00A331FA">
        <w:t xml:space="preserve"> Street to Home </w:t>
      </w:r>
    </w:p>
    <w:p w14:paraId="36A3DE27" w14:textId="4ED71E6C" w:rsidR="00A777E2" w:rsidRPr="00A331FA" w:rsidRDefault="00A777E2" w:rsidP="00D675BC">
      <w:pPr>
        <w:pStyle w:val="Bullets"/>
      </w:pPr>
      <w:r>
        <w:t xml:space="preserve">commenced </w:t>
      </w:r>
      <w:r w:rsidRPr="0046370F">
        <w:t>t</w:t>
      </w:r>
      <w:r w:rsidRPr="00A331FA">
        <w:t>rialling new services for high need client groups including</w:t>
      </w:r>
      <w:r w:rsidR="00233281">
        <w:t>:</w:t>
      </w:r>
      <w:r w:rsidRPr="00A331FA">
        <w:t xml:space="preserve"> the Gold Coast Project for Homeless Youth (Bill Hoyer House)</w:t>
      </w:r>
      <w:r w:rsidR="00233281">
        <w:t>,</w:t>
      </w:r>
      <w:r w:rsidRPr="00A331FA">
        <w:t xml:space="preserve"> immediate supported accommodation service for young people</w:t>
      </w:r>
      <w:r w:rsidR="00233281">
        <w:t>,</w:t>
      </w:r>
      <w:r w:rsidRPr="00A331FA">
        <w:t xml:space="preserve"> and the Lions in Place mobile support service for women and children who are homeless as a result of escaping domestic and family violence on the Sunshine Coast</w:t>
      </w:r>
    </w:p>
    <w:p w14:paraId="478E4C65" w14:textId="77777777" w:rsidR="00A777E2" w:rsidRPr="00A331FA" w:rsidRDefault="00A777E2" w:rsidP="00D675BC">
      <w:pPr>
        <w:pStyle w:val="Bullets"/>
      </w:pPr>
      <w:r w:rsidRPr="00A331FA">
        <w:t>purchas</w:t>
      </w:r>
      <w:r>
        <w:t>ed</w:t>
      </w:r>
      <w:r w:rsidRPr="00A331FA">
        <w:t xml:space="preserve"> two, eight-bedroom facilities in Roma to be used as a homelessness temporary supported accommodation </w:t>
      </w:r>
      <w:r w:rsidRPr="00A331FA">
        <w:lastRenderedPageBreak/>
        <w:t>service for women and children escaping domestic and family violence</w:t>
      </w:r>
    </w:p>
    <w:p w14:paraId="39158A72" w14:textId="77777777" w:rsidR="00A777E2" w:rsidRPr="00A331FA" w:rsidRDefault="00A777E2" w:rsidP="00D675BC">
      <w:pPr>
        <w:pStyle w:val="Bullets"/>
      </w:pPr>
      <w:r w:rsidRPr="00A331FA">
        <w:t>establish</w:t>
      </w:r>
      <w:r>
        <w:t>ed</w:t>
      </w:r>
      <w:r w:rsidRPr="00A331FA">
        <w:t xml:space="preserve"> an agreement between the department and QShelter to tackle complex problems and reduce housing stress in Queensland, by establishing the conditions necessary for the community housing sector to successfully work with government to increase the supply of affordable housing</w:t>
      </w:r>
    </w:p>
    <w:p w14:paraId="0A6D0365" w14:textId="29FCFBB3" w:rsidR="00A777E2" w:rsidRDefault="00A777E2" w:rsidP="00E05961">
      <w:pPr>
        <w:pStyle w:val="Bullets"/>
      </w:pPr>
      <w:r w:rsidRPr="00A331FA">
        <w:t>commenc</w:t>
      </w:r>
      <w:r>
        <w:t>ed</w:t>
      </w:r>
      <w:r w:rsidRPr="00A331FA">
        <w:t xml:space="preserve"> work to deliver a women’s shelter in Coen, in partnership with </w:t>
      </w:r>
      <w:r w:rsidR="008D6F9A">
        <w:t xml:space="preserve">the </w:t>
      </w:r>
      <w:r w:rsidRPr="00A331FA">
        <w:t>D</w:t>
      </w:r>
      <w:r>
        <w:t>epartment of Communities, Child Safety and Disability Services</w:t>
      </w:r>
    </w:p>
    <w:p w14:paraId="1327F437" w14:textId="77777777" w:rsidR="00A777E2" w:rsidRPr="00A331FA" w:rsidRDefault="00A777E2">
      <w:pPr>
        <w:pStyle w:val="Bullets"/>
      </w:pPr>
      <w:r w:rsidRPr="00A331FA">
        <w:t>commenc</w:t>
      </w:r>
      <w:r>
        <w:t>ed</w:t>
      </w:r>
      <w:r w:rsidRPr="00A331FA">
        <w:t xml:space="preserve"> work to replace shelters for women and children escaping domestic and family violence in </w:t>
      </w:r>
      <w:r>
        <w:t>Aboriginal and Torres Strait Islander</w:t>
      </w:r>
      <w:r w:rsidRPr="00A331FA">
        <w:t xml:space="preserve"> communities of Pormpuraaw, Cherbourg and Woorabinda</w:t>
      </w:r>
    </w:p>
    <w:p w14:paraId="7ED09022" w14:textId="12C61C28" w:rsidR="00A777E2" w:rsidRPr="00A331FA" w:rsidRDefault="00A777E2">
      <w:pPr>
        <w:pStyle w:val="Bullets"/>
      </w:pPr>
      <w:r w:rsidRPr="00A331FA">
        <w:t>pilot</w:t>
      </w:r>
      <w:r>
        <w:t>ed</w:t>
      </w:r>
      <w:r w:rsidRPr="00A331FA">
        <w:t xml:space="preserve"> refuges that cater for families with companion animals as part of </w:t>
      </w:r>
      <w:r w:rsidR="00AE67C8">
        <w:t xml:space="preserve">the </w:t>
      </w:r>
      <w:r w:rsidRPr="00A331FA">
        <w:t xml:space="preserve">service provision for women escaping domestic and family violence </w:t>
      </w:r>
    </w:p>
    <w:p w14:paraId="2236645C" w14:textId="77777777" w:rsidR="00A777E2" w:rsidRPr="00A331FA" w:rsidRDefault="00A777E2">
      <w:pPr>
        <w:pStyle w:val="Bullets"/>
      </w:pPr>
      <w:r w:rsidRPr="00A331FA">
        <w:t>work</w:t>
      </w:r>
      <w:r>
        <w:t>ed</w:t>
      </w:r>
      <w:r w:rsidRPr="00A331FA">
        <w:t xml:space="preserve"> with Queensland Treasury’s Social Benefit Bond Pilot Program to deliver innovation in cross agency collaboration for improved housing outcomes for young people exiting statutory care or custody. </w:t>
      </w:r>
    </w:p>
    <w:p w14:paraId="7DA59485" w14:textId="77777777" w:rsidR="00A777E2" w:rsidRPr="00321F37" w:rsidRDefault="00A777E2" w:rsidP="00792F33">
      <w:pPr>
        <w:pStyle w:val="ARHeading4"/>
      </w:pPr>
      <w:r w:rsidRPr="004F0E13">
        <w:t>Regulatory Services</w:t>
      </w:r>
    </w:p>
    <w:p w14:paraId="064B305D" w14:textId="2B86C1C3" w:rsidR="00A777E2" w:rsidRPr="00A331FA" w:rsidRDefault="00A777E2" w:rsidP="00CF0A4C">
      <w:r w:rsidRPr="00A331FA">
        <w:t xml:space="preserve">In </w:t>
      </w:r>
      <w:r w:rsidR="000C39C3">
        <w:t>2016–17</w:t>
      </w:r>
      <w:r>
        <w:t>,</w:t>
      </w:r>
      <w:r w:rsidRPr="00A331FA">
        <w:t xml:space="preserve"> we:</w:t>
      </w:r>
    </w:p>
    <w:p w14:paraId="0D8B14EA" w14:textId="77777777" w:rsidR="00A777E2" w:rsidRPr="00B6318B" w:rsidRDefault="00A777E2" w:rsidP="00DC4782">
      <w:pPr>
        <w:pStyle w:val="ListParagraph"/>
        <w:numPr>
          <w:ilvl w:val="0"/>
          <w:numId w:val="11"/>
        </w:numPr>
      </w:pPr>
      <w:r w:rsidRPr="00B6318B">
        <w:t xml:space="preserve">completed the assessment of 77 applications from non-government community housing providers seeking registration under the National Regulatory System for Community Housing </w:t>
      </w:r>
    </w:p>
    <w:p w14:paraId="2BAE002B" w14:textId="0D2AA02F" w:rsidR="00A777E2" w:rsidRPr="00B6318B" w:rsidRDefault="00A777E2" w:rsidP="00DC4782">
      <w:pPr>
        <w:pStyle w:val="ListParagraph"/>
        <w:numPr>
          <w:ilvl w:val="0"/>
          <w:numId w:val="11"/>
        </w:numPr>
        <w:ind w:left="357" w:hanging="357"/>
      </w:pPr>
      <w:r w:rsidRPr="00B6318B">
        <w:t xml:space="preserve">completed the assessment of 10 applications from local government </w:t>
      </w:r>
      <w:r w:rsidRPr="00B6318B">
        <w:t>community housing providers seeking registration under the Queensland State Regulatory System for Community Housing</w:t>
      </w:r>
    </w:p>
    <w:p w14:paraId="4D493D13" w14:textId="16186465" w:rsidR="00A777E2" w:rsidRPr="00B6318B" w:rsidRDefault="00A777E2" w:rsidP="00DC4782">
      <w:pPr>
        <w:pStyle w:val="ListParagraph"/>
        <w:numPr>
          <w:ilvl w:val="0"/>
          <w:numId w:val="11"/>
        </w:numPr>
      </w:pPr>
      <w:bookmarkStart w:id="28" w:name="_Hlk489017354"/>
      <w:r w:rsidRPr="00B6318B">
        <w:t>completed a targeted investigation into unregulated operators of residential services. There were 36 complaints received relating to 64 properties during the investigation period. 100% of the complaints received during the investigation period have been actioned.</w:t>
      </w:r>
      <w:bookmarkEnd w:id="28"/>
    </w:p>
    <w:p w14:paraId="0DB8D85F" w14:textId="5EA86BED" w:rsidR="00A777E2" w:rsidRDefault="00A777E2" w:rsidP="00792F33">
      <w:pPr>
        <w:pStyle w:val="Heading3"/>
      </w:pPr>
      <w:r w:rsidRPr="00E52E16">
        <w:t xml:space="preserve">Our </w:t>
      </w:r>
      <w:r w:rsidR="00DD5B0E">
        <w:t>F</w:t>
      </w:r>
      <w:r w:rsidRPr="00E52E16">
        <w:t>uture</w:t>
      </w:r>
      <w:r>
        <w:t xml:space="preserve"> </w:t>
      </w:r>
      <w:r w:rsidR="00DD5B0E">
        <w:t>F</w:t>
      </w:r>
      <w:r>
        <w:t>ocus</w:t>
      </w:r>
    </w:p>
    <w:p w14:paraId="07517F85" w14:textId="7E415582" w:rsidR="00A777E2" w:rsidRPr="00E52E16" w:rsidRDefault="00A777E2" w:rsidP="00CF0A4C">
      <w:r>
        <w:t xml:space="preserve">In 2017–18, the department will continue to deliver initiatives that will make a difference to Queenslanders </w:t>
      </w:r>
      <w:r w:rsidR="00AE67C8">
        <w:t>by</w:t>
      </w:r>
      <w:r>
        <w:t xml:space="preserve">:  </w:t>
      </w:r>
    </w:p>
    <w:p w14:paraId="5C95BDF9" w14:textId="1252419A" w:rsidR="00A777E2" w:rsidRDefault="00A777E2" w:rsidP="00DC4782">
      <w:pPr>
        <w:pStyle w:val="ListParagraph"/>
        <w:numPr>
          <w:ilvl w:val="0"/>
          <w:numId w:val="11"/>
        </w:numPr>
      </w:pPr>
      <w:r w:rsidRPr="00A331FA">
        <w:t>implement</w:t>
      </w:r>
      <w:r>
        <w:t>ing</w:t>
      </w:r>
      <w:r w:rsidRPr="00A331FA">
        <w:t xml:space="preserve"> the </w:t>
      </w:r>
      <w:r w:rsidRPr="007B7085">
        <w:rPr>
          <w:i/>
        </w:rPr>
        <w:t>Queensland Housing Strategy 2017</w:t>
      </w:r>
      <w:r w:rsidR="000C39C3" w:rsidRPr="007B7085">
        <w:rPr>
          <w:i/>
        </w:rPr>
        <w:t>–</w:t>
      </w:r>
      <w:r w:rsidRPr="007B7085">
        <w:rPr>
          <w:i/>
        </w:rPr>
        <w:t>2020</w:t>
      </w:r>
      <w:r w:rsidR="001C421C" w:rsidRPr="007B7085">
        <w:rPr>
          <w:i/>
        </w:rPr>
        <w:t xml:space="preserve"> Action Plan</w:t>
      </w:r>
      <w:r w:rsidRPr="00A331FA">
        <w:t>, which will drive key service delivery reforms and targeted investment acro</w:t>
      </w:r>
      <w:r w:rsidRPr="008263E7">
        <w:t>ss the entire housing continuum</w:t>
      </w:r>
    </w:p>
    <w:p w14:paraId="77A5DD2F" w14:textId="77777777" w:rsidR="00A777E2" w:rsidRPr="00365D63" w:rsidRDefault="00A777E2" w:rsidP="00DC4782">
      <w:pPr>
        <w:pStyle w:val="ListParagraph"/>
        <w:numPr>
          <w:ilvl w:val="0"/>
          <w:numId w:val="11"/>
        </w:numPr>
        <w:ind w:left="357" w:hanging="357"/>
      </w:pPr>
      <w:r>
        <w:t>progressing the Housing Construction Jobs Program, as part of the Housing Strategy</w:t>
      </w:r>
    </w:p>
    <w:p w14:paraId="31234B36" w14:textId="77777777" w:rsidR="00A777E2" w:rsidRPr="00B6318B" w:rsidRDefault="00A777E2" w:rsidP="00DC4782">
      <w:pPr>
        <w:pStyle w:val="ListParagraph"/>
        <w:numPr>
          <w:ilvl w:val="0"/>
          <w:numId w:val="11"/>
        </w:numPr>
      </w:pPr>
      <w:r w:rsidRPr="00C650EF">
        <w:rPr>
          <w:color w:val="000000" w:themeColor="text1"/>
        </w:rPr>
        <w:t>developing</w:t>
      </w:r>
      <w:r w:rsidRPr="00B6318B">
        <w:t xml:space="preserve"> an Aboriginal and Torres Strait Islander Housing Action Plan dealing with housing outcomes and complex challenges</w:t>
      </w:r>
    </w:p>
    <w:p w14:paraId="32092944" w14:textId="6F005524" w:rsidR="00A777E2" w:rsidRPr="00B6318B" w:rsidRDefault="00A777E2" w:rsidP="00DC4782">
      <w:pPr>
        <w:pStyle w:val="ListParagraph"/>
        <w:numPr>
          <w:ilvl w:val="0"/>
          <w:numId w:val="11"/>
        </w:numPr>
      </w:pPr>
      <w:r w:rsidRPr="00B6318B">
        <w:t xml:space="preserve">continuing to work with communities and local governments to assist with home ownership </w:t>
      </w:r>
      <w:r w:rsidR="0014244A">
        <w:t>i</w:t>
      </w:r>
      <w:r w:rsidRPr="00B6318B">
        <w:t>n discrete Aboriginal and Torres Strait Islander communities</w:t>
      </w:r>
    </w:p>
    <w:p w14:paraId="2480D698" w14:textId="66B05649" w:rsidR="00A777E2" w:rsidRPr="00365D63" w:rsidRDefault="00A777E2" w:rsidP="00DC4782">
      <w:pPr>
        <w:pStyle w:val="ListParagraph"/>
        <w:numPr>
          <w:ilvl w:val="0"/>
          <w:numId w:val="11"/>
        </w:numPr>
      </w:pPr>
      <w:r w:rsidRPr="00365D63">
        <w:t>expanding the department’s capabilities in housing market data collection, research and analysis</w:t>
      </w:r>
      <w:r w:rsidR="008B29E5">
        <w:t>,</w:t>
      </w:r>
      <w:r w:rsidRPr="00365D63">
        <w:t xml:space="preserve"> to ensure that program planning is robust and evidence based and meets the needs of local communities</w:t>
      </w:r>
    </w:p>
    <w:p w14:paraId="7DB5443B" w14:textId="2ABF8CEA" w:rsidR="00A777E2" w:rsidRPr="007B54AB" w:rsidRDefault="00A777E2" w:rsidP="00DC4782">
      <w:pPr>
        <w:pStyle w:val="ListParagraph"/>
        <w:numPr>
          <w:ilvl w:val="0"/>
          <w:numId w:val="11"/>
        </w:numPr>
        <w:rPr>
          <w:b/>
          <w:bCs/>
        </w:rPr>
      </w:pPr>
      <w:r>
        <w:t>f</w:t>
      </w:r>
      <w:r w:rsidRPr="00B0270D">
        <w:t xml:space="preserve">unding </w:t>
      </w:r>
      <w:r w:rsidRPr="00A331FA">
        <w:t>projects under the Dignity First Fund</w:t>
      </w:r>
      <w:r>
        <w:t xml:space="preserve"> to </w:t>
      </w:r>
      <w:r w:rsidRPr="00A331FA">
        <w:t>assist Queenslanders experiencing homelessness</w:t>
      </w:r>
      <w:r w:rsidR="008B29E5">
        <w:t>,</w:t>
      </w:r>
      <w:r w:rsidRPr="00A331FA">
        <w:t xml:space="preserve"> to live with dignity as well as prevent or reduce homelessness.</w:t>
      </w:r>
    </w:p>
    <w:p w14:paraId="4A0177B0" w14:textId="77777777" w:rsidR="006968F8" w:rsidRDefault="006968F8">
      <w:pPr>
        <w:pStyle w:val="Bullets"/>
        <w:sectPr w:rsidR="006968F8" w:rsidSect="00CF5CE6">
          <w:type w:val="continuous"/>
          <w:pgSz w:w="11906" w:h="16838"/>
          <w:pgMar w:top="1440" w:right="1021" w:bottom="1440" w:left="1021" w:header="709" w:footer="709" w:gutter="0"/>
          <w:cols w:num="2" w:space="397"/>
          <w:docGrid w:linePitch="360"/>
        </w:sectPr>
      </w:pPr>
    </w:p>
    <w:bookmarkEnd w:id="27"/>
    <w:p w14:paraId="411F8E8A" w14:textId="4DA48862" w:rsidR="005022D8" w:rsidRPr="00E05961" w:rsidRDefault="00DC4782" w:rsidP="00CF0A4C">
      <w:pPr>
        <w:rPr>
          <w:b/>
        </w:rPr>
      </w:pPr>
      <w:r>
        <w:t>Infographic</w:t>
      </w:r>
      <w:r>
        <w:t>s</w:t>
      </w:r>
      <w:r w:rsidR="00D675BC" w:rsidRPr="00E05961">
        <w:rPr>
          <w:b/>
        </w:rPr>
        <w:t>:</w:t>
      </w:r>
    </w:p>
    <w:tbl>
      <w:tblPr>
        <w:tblW w:w="9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18"/>
        <w:gridCol w:w="1377"/>
        <w:gridCol w:w="1940"/>
        <w:gridCol w:w="1854"/>
        <w:gridCol w:w="3499"/>
      </w:tblGrid>
      <w:tr w:rsidR="00C60A7A" w:rsidRPr="00D675BC" w14:paraId="6E3F616D" w14:textId="77777777" w:rsidTr="00D675BC">
        <w:tc>
          <w:tcPr>
            <w:tcW w:w="818" w:type="dxa"/>
            <w:shd w:val="clear" w:color="auto" w:fill="D9D9D9" w:themeFill="background1" w:themeFillShade="D9"/>
          </w:tcPr>
          <w:p w14:paraId="16105E6E" w14:textId="77777777" w:rsidR="00C60A7A" w:rsidRPr="00D675BC" w:rsidRDefault="00C60A7A">
            <w:pPr>
              <w:pStyle w:val="ListParagraph"/>
              <w:ind w:left="0"/>
              <w:rPr>
                <w:rFonts w:ascii="Calibri" w:hAnsi="Calibri"/>
                <w:b/>
                <w:bCs/>
              </w:rPr>
            </w:pPr>
          </w:p>
        </w:tc>
        <w:tc>
          <w:tcPr>
            <w:tcW w:w="3317" w:type="dxa"/>
            <w:gridSpan w:val="2"/>
            <w:shd w:val="clear" w:color="auto" w:fill="D9D9D9" w:themeFill="background1" w:themeFillShade="D9"/>
            <w:tcMar>
              <w:top w:w="0" w:type="dxa"/>
              <w:left w:w="108" w:type="dxa"/>
              <w:bottom w:w="0" w:type="dxa"/>
              <w:right w:w="108" w:type="dxa"/>
            </w:tcMar>
            <w:hideMark/>
          </w:tcPr>
          <w:p w14:paraId="0D036DDE" w14:textId="77777777" w:rsidR="00C60A7A" w:rsidRPr="00D675BC" w:rsidRDefault="00C60A7A">
            <w:pPr>
              <w:pStyle w:val="ListParagraph"/>
              <w:ind w:left="0"/>
              <w:rPr>
                <w:b/>
              </w:rPr>
            </w:pPr>
            <w:r w:rsidRPr="00D675BC">
              <w:rPr>
                <w:b/>
              </w:rPr>
              <w:t>Queensland’s public housing clients had the</w:t>
            </w:r>
          </w:p>
          <w:p w14:paraId="579A9133" w14:textId="77777777" w:rsidR="00C60A7A" w:rsidRPr="00D675BC" w:rsidRDefault="00C60A7A">
            <w:pPr>
              <w:pStyle w:val="ListParagraph"/>
              <w:ind w:left="0"/>
              <w:rPr>
                <w:b/>
              </w:rPr>
            </w:pPr>
            <w:r w:rsidRPr="00D675BC">
              <w:rPr>
                <w:b/>
              </w:rPr>
              <w:t xml:space="preserve">Highest level of client satisfaction in Australian </w:t>
            </w:r>
          </w:p>
        </w:tc>
        <w:tc>
          <w:tcPr>
            <w:tcW w:w="5353" w:type="dxa"/>
            <w:gridSpan w:val="2"/>
            <w:shd w:val="clear" w:color="auto" w:fill="D9D9D9" w:themeFill="background1" w:themeFillShade="D9"/>
            <w:tcMar>
              <w:top w:w="0" w:type="dxa"/>
              <w:left w:w="108" w:type="dxa"/>
              <w:bottom w:w="0" w:type="dxa"/>
              <w:right w:w="108" w:type="dxa"/>
            </w:tcMar>
            <w:hideMark/>
          </w:tcPr>
          <w:p w14:paraId="5FC12A2A" w14:textId="77777777" w:rsidR="00C60A7A" w:rsidRPr="00D675BC" w:rsidRDefault="00C60A7A">
            <w:pPr>
              <w:pStyle w:val="ListParagraph"/>
              <w:ind w:left="0"/>
              <w:rPr>
                <w:b/>
              </w:rPr>
            </w:pPr>
            <w:r w:rsidRPr="00D675BC">
              <w:rPr>
                <w:b/>
              </w:rPr>
              <w:t>Customer Satisfaction Highest in Australia</w:t>
            </w:r>
          </w:p>
          <w:p w14:paraId="107B88E5" w14:textId="77777777" w:rsidR="00C60A7A" w:rsidRPr="00D675BC" w:rsidRDefault="00C60A7A">
            <w:pPr>
              <w:pStyle w:val="ListParagraph"/>
              <w:ind w:left="0"/>
              <w:rPr>
                <w:b/>
              </w:rPr>
            </w:pPr>
            <w:r w:rsidRPr="00D675BC">
              <w:rPr>
                <w:b/>
              </w:rPr>
              <w:t xml:space="preserve">Households with a member with a disability in public housing </w:t>
            </w:r>
          </w:p>
        </w:tc>
      </w:tr>
      <w:tr w:rsidR="00C60A7A" w14:paraId="14D227A7" w14:textId="77777777" w:rsidTr="00D675BC">
        <w:tc>
          <w:tcPr>
            <w:tcW w:w="818" w:type="dxa"/>
          </w:tcPr>
          <w:p w14:paraId="06880083" w14:textId="77777777" w:rsidR="00C60A7A" w:rsidRDefault="00C60A7A" w:rsidP="00C60A7A">
            <w:pPr>
              <w:pStyle w:val="ListParagraph"/>
              <w:ind w:left="0"/>
              <w:rPr>
                <w:b/>
                <w:bCs/>
              </w:rPr>
            </w:pPr>
          </w:p>
        </w:tc>
        <w:tc>
          <w:tcPr>
            <w:tcW w:w="1377" w:type="dxa"/>
            <w:tcMar>
              <w:top w:w="0" w:type="dxa"/>
              <w:left w:w="108" w:type="dxa"/>
              <w:bottom w:w="0" w:type="dxa"/>
              <w:right w:w="108" w:type="dxa"/>
            </w:tcMar>
          </w:tcPr>
          <w:p w14:paraId="2A886554" w14:textId="0C572DD7" w:rsidR="00C60A7A" w:rsidRDefault="00C60A7A" w:rsidP="00C60A7A">
            <w:pPr>
              <w:pStyle w:val="ListParagraph"/>
              <w:ind w:left="0"/>
            </w:pPr>
            <w:r>
              <w:t>QLD</w:t>
            </w:r>
          </w:p>
        </w:tc>
        <w:tc>
          <w:tcPr>
            <w:tcW w:w="1940" w:type="dxa"/>
            <w:tcMar>
              <w:top w:w="0" w:type="dxa"/>
              <w:left w:w="108" w:type="dxa"/>
              <w:bottom w:w="0" w:type="dxa"/>
              <w:right w:w="108" w:type="dxa"/>
            </w:tcMar>
          </w:tcPr>
          <w:p w14:paraId="4DA402C9" w14:textId="69927CE1" w:rsidR="00C60A7A" w:rsidRDefault="00C60A7A" w:rsidP="00C60A7A">
            <w:pPr>
              <w:pStyle w:val="ListParagraph"/>
              <w:ind w:left="0"/>
            </w:pPr>
            <w:r>
              <w:t>National Average</w:t>
            </w:r>
          </w:p>
        </w:tc>
        <w:tc>
          <w:tcPr>
            <w:tcW w:w="1854" w:type="dxa"/>
            <w:tcMar>
              <w:top w:w="0" w:type="dxa"/>
              <w:left w:w="108" w:type="dxa"/>
              <w:bottom w:w="0" w:type="dxa"/>
              <w:right w:w="108" w:type="dxa"/>
            </w:tcMar>
          </w:tcPr>
          <w:p w14:paraId="280BA67F" w14:textId="71B1B403" w:rsidR="00C60A7A" w:rsidRDefault="00C60A7A" w:rsidP="00C60A7A">
            <w:pPr>
              <w:pStyle w:val="ListParagraph"/>
              <w:ind w:left="0"/>
            </w:pPr>
            <w:r>
              <w:t>QLD</w:t>
            </w:r>
          </w:p>
        </w:tc>
        <w:tc>
          <w:tcPr>
            <w:tcW w:w="3499" w:type="dxa"/>
            <w:tcMar>
              <w:top w:w="0" w:type="dxa"/>
              <w:left w:w="108" w:type="dxa"/>
              <w:bottom w:w="0" w:type="dxa"/>
              <w:right w:w="108" w:type="dxa"/>
            </w:tcMar>
          </w:tcPr>
          <w:p w14:paraId="61FF28EE" w14:textId="4953BFEA" w:rsidR="00C60A7A" w:rsidRDefault="00C60A7A" w:rsidP="00C60A7A">
            <w:pPr>
              <w:pStyle w:val="ListParagraph"/>
              <w:ind w:left="0"/>
            </w:pPr>
            <w:r>
              <w:t>National Average</w:t>
            </w:r>
          </w:p>
        </w:tc>
      </w:tr>
      <w:tr w:rsidR="00C60A7A" w14:paraId="12FDFDC7" w14:textId="77777777" w:rsidTr="00D675BC">
        <w:tc>
          <w:tcPr>
            <w:tcW w:w="818" w:type="dxa"/>
            <w:hideMark/>
          </w:tcPr>
          <w:p w14:paraId="10898132" w14:textId="77777777" w:rsidR="00C60A7A" w:rsidRDefault="00C60A7A" w:rsidP="00C60A7A">
            <w:pPr>
              <w:pStyle w:val="ListParagraph"/>
              <w:ind w:left="0"/>
              <w:rPr>
                <w:b/>
                <w:bCs/>
              </w:rPr>
            </w:pPr>
            <w:r>
              <w:rPr>
                <w:b/>
                <w:bCs/>
              </w:rPr>
              <w:t>2014</w:t>
            </w:r>
          </w:p>
        </w:tc>
        <w:tc>
          <w:tcPr>
            <w:tcW w:w="1377" w:type="dxa"/>
            <w:tcMar>
              <w:top w:w="0" w:type="dxa"/>
              <w:left w:w="108" w:type="dxa"/>
              <w:bottom w:w="0" w:type="dxa"/>
              <w:right w:w="108" w:type="dxa"/>
            </w:tcMar>
            <w:hideMark/>
          </w:tcPr>
          <w:p w14:paraId="062E128A" w14:textId="3C511DCA" w:rsidR="00C60A7A" w:rsidRDefault="00C60A7A" w:rsidP="00C60A7A">
            <w:pPr>
              <w:pStyle w:val="ListParagraph"/>
              <w:ind w:left="0"/>
            </w:pPr>
            <w:r>
              <w:t xml:space="preserve">83.8% </w:t>
            </w:r>
          </w:p>
        </w:tc>
        <w:tc>
          <w:tcPr>
            <w:tcW w:w="1940" w:type="dxa"/>
            <w:tcMar>
              <w:top w:w="0" w:type="dxa"/>
              <w:left w:w="108" w:type="dxa"/>
              <w:bottom w:w="0" w:type="dxa"/>
              <w:right w:w="108" w:type="dxa"/>
            </w:tcMar>
            <w:hideMark/>
          </w:tcPr>
          <w:p w14:paraId="3089F487" w14:textId="22B0AAE9" w:rsidR="00C60A7A" w:rsidRDefault="00C60A7A" w:rsidP="00C60A7A">
            <w:pPr>
              <w:pStyle w:val="ListParagraph"/>
              <w:ind w:left="0"/>
            </w:pPr>
            <w:r>
              <w:t xml:space="preserve">72.4% </w:t>
            </w:r>
          </w:p>
        </w:tc>
        <w:tc>
          <w:tcPr>
            <w:tcW w:w="1854" w:type="dxa"/>
            <w:tcMar>
              <w:top w:w="0" w:type="dxa"/>
              <w:left w:w="108" w:type="dxa"/>
              <w:bottom w:w="0" w:type="dxa"/>
              <w:right w:w="108" w:type="dxa"/>
            </w:tcMar>
            <w:hideMark/>
          </w:tcPr>
          <w:p w14:paraId="3776A1F4" w14:textId="1170CB54" w:rsidR="00C60A7A" w:rsidRDefault="00C60A7A" w:rsidP="00C60A7A">
            <w:pPr>
              <w:pStyle w:val="ListParagraph"/>
              <w:ind w:left="0"/>
            </w:pPr>
            <w:r>
              <w:t>81.1%</w:t>
            </w:r>
          </w:p>
        </w:tc>
        <w:tc>
          <w:tcPr>
            <w:tcW w:w="3499" w:type="dxa"/>
            <w:tcMar>
              <w:top w:w="0" w:type="dxa"/>
              <w:left w:w="108" w:type="dxa"/>
              <w:bottom w:w="0" w:type="dxa"/>
              <w:right w:w="108" w:type="dxa"/>
            </w:tcMar>
            <w:hideMark/>
          </w:tcPr>
          <w:p w14:paraId="5D2FEF58" w14:textId="4161DCA0" w:rsidR="00C60A7A" w:rsidRDefault="00C60A7A" w:rsidP="00C60A7A">
            <w:pPr>
              <w:pStyle w:val="ListParagraph"/>
              <w:ind w:left="0"/>
            </w:pPr>
            <w:r>
              <w:t xml:space="preserve">66.4% </w:t>
            </w:r>
          </w:p>
        </w:tc>
      </w:tr>
      <w:tr w:rsidR="00C60A7A" w14:paraId="013B0C6D" w14:textId="77777777" w:rsidTr="00D675BC">
        <w:tc>
          <w:tcPr>
            <w:tcW w:w="818" w:type="dxa"/>
            <w:hideMark/>
          </w:tcPr>
          <w:p w14:paraId="34FD89F8" w14:textId="77777777" w:rsidR="00C60A7A" w:rsidRDefault="00C60A7A" w:rsidP="00C60A7A">
            <w:pPr>
              <w:pStyle w:val="ListParagraph"/>
              <w:ind w:left="0"/>
              <w:rPr>
                <w:b/>
                <w:bCs/>
              </w:rPr>
            </w:pPr>
            <w:r>
              <w:rPr>
                <w:b/>
                <w:bCs/>
              </w:rPr>
              <w:t>2016</w:t>
            </w:r>
          </w:p>
        </w:tc>
        <w:tc>
          <w:tcPr>
            <w:tcW w:w="1377" w:type="dxa"/>
            <w:tcMar>
              <w:top w:w="0" w:type="dxa"/>
              <w:left w:w="108" w:type="dxa"/>
              <w:bottom w:w="0" w:type="dxa"/>
              <w:right w:w="108" w:type="dxa"/>
            </w:tcMar>
            <w:hideMark/>
          </w:tcPr>
          <w:p w14:paraId="7DA2BE4A" w14:textId="22A75F88" w:rsidR="00C60A7A" w:rsidRDefault="00C60A7A" w:rsidP="00C60A7A">
            <w:pPr>
              <w:pStyle w:val="ListParagraph"/>
              <w:ind w:left="0"/>
            </w:pPr>
            <w:r>
              <w:t xml:space="preserve">85.8% </w:t>
            </w:r>
          </w:p>
        </w:tc>
        <w:tc>
          <w:tcPr>
            <w:tcW w:w="1940" w:type="dxa"/>
            <w:tcMar>
              <w:top w:w="0" w:type="dxa"/>
              <w:left w:w="108" w:type="dxa"/>
              <w:bottom w:w="0" w:type="dxa"/>
              <w:right w:w="108" w:type="dxa"/>
            </w:tcMar>
            <w:hideMark/>
          </w:tcPr>
          <w:p w14:paraId="676B1CDC" w14:textId="72165235" w:rsidR="00C60A7A" w:rsidRDefault="00C60A7A" w:rsidP="00C60A7A">
            <w:pPr>
              <w:pStyle w:val="ListParagraph"/>
              <w:ind w:left="0"/>
            </w:pPr>
            <w:r>
              <w:t>73.1 %</w:t>
            </w:r>
          </w:p>
        </w:tc>
        <w:tc>
          <w:tcPr>
            <w:tcW w:w="1854" w:type="dxa"/>
            <w:tcMar>
              <w:top w:w="0" w:type="dxa"/>
              <w:left w:w="108" w:type="dxa"/>
              <w:bottom w:w="0" w:type="dxa"/>
              <w:right w:w="108" w:type="dxa"/>
            </w:tcMar>
            <w:hideMark/>
          </w:tcPr>
          <w:p w14:paraId="133F070E" w14:textId="04EE4293" w:rsidR="00C60A7A" w:rsidRDefault="00C60A7A" w:rsidP="00C60A7A">
            <w:pPr>
              <w:pStyle w:val="ListParagraph"/>
              <w:ind w:left="0"/>
            </w:pPr>
            <w:r>
              <w:t>81.1%</w:t>
            </w:r>
          </w:p>
        </w:tc>
        <w:tc>
          <w:tcPr>
            <w:tcW w:w="3499" w:type="dxa"/>
            <w:tcMar>
              <w:top w:w="0" w:type="dxa"/>
              <w:left w:w="108" w:type="dxa"/>
              <w:bottom w:w="0" w:type="dxa"/>
              <w:right w:w="108" w:type="dxa"/>
            </w:tcMar>
            <w:hideMark/>
          </w:tcPr>
          <w:p w14:paraId="73FE6379" w14:textId="145CB79A" w:rsidR="00C60A7A" w:rsidRDefault="00C60A7A" w:rsidP="00C60A7A">
            <w:pPr>
              <w:pStyle w:val="ListParagraph"/>
              <w:ind w:left="0"/>
            </w:pPr>
            <w:r>
              <w:t xml:space="preserve">66.6% </w:t>
            </w:r>
          </w:p>
        </w:tc>
      </w:tr>
    </w:tbl>
    <w:p w14:paraId="6E60F448" w14:textId="02507A6A" w:rsidR="00C60A7A" w:rsidRDefault="00C60A7A" w:rsidP="00C60A7A">
      <w:pPr>
        <w:spacing w:after="0"/>
        <w:rPr>
          <w:rFonts w:eastAsia="Times New Roman"/>
        </w:rPr>
      </w:pPr>
      <w:r>
        <w:rPr>
          <w:rFonts w:eastAsia="Times New Roman"/>
        </w:rPr>
        <w:t>Source: AIHW National Social Housing Survey 2016, as reported in Report on Government Services 2017, vol. G, Housing and homelessness, Productivity Commission, Canberra.</w:t>
      </w:r>
    </w:p>
    <w:p w14:paraId="6354A561" w14:textId="1C9419CD" w:rsidR="00740AC1" w:rsidRDefault="00740AC1" w:rsidP="00CF0A4C">
      <w:pPr>
        <w:rPr>
          <w:rFonts w:eastAsiaTheme="majorEastAsia" w:cstheme="majorBidi"/>
          <w:sz w:val="28"/>
          <w:szCs w:val="24"/>
        </w:rPr>
      </w:pPr>
      <w:r>
        <w:br w:type="page"/>
      </w:r>
    </w:p>
    <w:p w14:paraId="5C1BB0C2" w14:textId="0BE443FF" w:rsidR="00105639" w:rsidRPr="00216984" w:rsidRDefault="00105639" w:rsidP="00792F33">
      <w:pPr>
        <w:pStyle w:val="Heading3"/>
      </w:pPr>
      <w:r w:rsidRPr="00CB45B4">
        <w:lastRenderedPageBreak/>
        <w:t>Service Standards</w:t>
      </w:r>
      <w:r w:rsidR="007D2205">
        <w:t xml:space="preserve"> – Our Results for 2016–17</w:t>
      </w:r>
    </w:p>
    <w:tbl>
      <w:tblPr>
        <w:tblW w:w="9883" w:type="dxa"/>
        <w:tblInd w:w="-5" w:type="dxa"/>
        <w:tblBorders>
          <w:top w:val="single" w:sz="4" w:space="0" w:color="3494BA" w:themeColor="accent1"/>
          <w:left w:val="single" w:sz="4" w:space="0" w:color="3494BA" w:themeColor="accent1"/>
          <w:bottom w:val="single" w:sz="4" w:space="0" w:color="3494BA" w:themeColor="accent1"/>
          <w:right w:val="single" w:sz="4" w:space="0" w:color="3494BA" w:themeColor="accent1"/>
          <w:insideH w:val="single" w:sz="4" w:space="0" w:color="3494BA" w:themeColor="accent1"/>
          <w:insideV w:val="single" w:sz="4" w:space="0" w:color="3494BA" w:themeColor="accent1"/>
        </w:tblBorders>
        <w:tblLayout w:type="fixed"/>
        <w:tblLook w:val="01E0" w:firstRow="1" w:lastRow="1" w:firstColumn="1" w:lastColumn="1" w:noHBand="0" w:noVBand="0"/>
      </w:tblPr>
      <w:tblGrid>
        <w:gridCol w:w="7237"/>
        <w:gridCol w:w="1386"/>
        <w:gridCol w:w="1260"/>
      </w:tblGrid>
      <w:tr w:rsidR="00DA6B9A" w:rsidRPr="00DA6B9A" w14:paraId="67DA7338" w14:textId="77777777" w:rsidTr="00792F33">
        <w:trPr>
          <w:tblHeader/>
        </w:trPr>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2D58E7A2" w14:textId="72419472" w:rsidR="00B42575" w:rsidRPr="00455FE3" w:rsidRDefault="007D2205" w:rsidP="00CF0A4C">
            <w:pPr>
              <w:pStyle w:val="TableTextHeading"/>
              <w:rPr>
                <w:sz w:val="22"/>
              </w:rPr>
            </w:pPr>
            <w:r w:rsidRPr="00455FE3">
              <w:rPr>
                <w:sz w:val="22"/>
              </w:rPr>
              <w:t>Housing and Homelessness Services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0C38CAF7" w14:textId="2C5551E9" w:rsidR="00B42575" w:rsidRPr="00455FE3" w:rsidRDefault="000C39C3" w:rsidP="00CF0A4C">
            <w:pPr>
              <w:pStyle w:val="TableTextHeading"/>
              <w:rPr>
                <w:sz w:val="22"/>
              </w:rPr>
            </w:pPr>
            <w:r w:rsidRPr="00455FE3">
              <w:rPr>
                <w:sz w:val="22"/>
              </w:rPr>
              <w:t>2016–17</w:t>
            </w:r>
          </w:p>
          <w:p w14:paraId="79CF1FCC" w14:textId="77777777" w:rsidR="00B42575" w:rsidRPr="00455FE3" w:rsidRDefault="00B42575" w:rsidP="00CF0A4C">
            <w:pPr>
              <w:pStyle w:val="TableTextHeading"/>
              <w:rPr>
                <w:sz w:val="22"/>
              </w:rPr>
            </w:pPr>
            <w:r w:rsidRPr="00455FE3">
              <w:rPr>
                <w:sz w:val="22"/>
              </w:rPr>
              <w:t>Target/Est.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1A03CC8C" w14:textId="705D1E1C" w:rsidR="00B42575" w:rsidRPr="00455FE3" w:rsidRDefault="000C39C3" w:rsidP="00CF0A4C">
            <w:pPr>
              <w:pStyle w:val="TableTextHeading"/>
              <w:rPr>
                <w:sz w:val="22"/>
              </w:rPr>
            </w:pPr>
            <w:r w:rsidRPr="00455FE3">
              <w:rPr>
                <w:sz w:val="22"/>
              </w:rPr>
              <w:t>2016–17</w:t>
            </w:r>
          </w:p>
          <w:p w14:paraId="1ECADF05" w14:textId="77777777" w:rsidR="00B42575" w:rsidRPr="00455FE3" w:rsidRDefault="00B42575" w:rsidP="00CF0A4C">
            <w:pPr>
              <w:pStyle w:val="TableTextHeading"/>
              <w:rPr>
                <w:sz w:val="22"/>
              </w:rPr>
            </w:pPr>
            <w:r w:rsidRPr="00455FE3">
              <w:rPr>
                <w:sz w:val="22"/>
              </w:rPr>
              <w:t>Actual</w:t>
            </w:r>
          </w:p>
        </w:tc>
      </w:tr>
      <w:tr w:rsidR="00B42575" w:rsidRPr="00246DD9" w14:paraId="4B13D546"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2831238" w14:textId="77777777" w:rsidR="00B42575" w:rsidRPr="00455FE3" w:rsidRDefault="00B42575" w:rsidP="00CF0A4C">
            <w:pPr>
              <w:pStyle w:val="TableTextBold"/>
              <w:rPr>
                <w:sz w:val="22"/>
              </w:rPr>
            </w:pPr>
            <w:r w:rsidRPr="00455FE3">
              <w:rPr>
                <w:sz w:val="22"/>
              </w:rPr>
              <w:t>Effectiveness measures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6744AC1" w14:textId="77777777" w:rsidR="00B42575" w:rsidRPr="00246DD9" w:rsidRDefault="00B42575" w:rsidP="00CF0A4C">
            <w:pPr>
              <w:pStyle w:val="TableTextRight"/>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66490CD" w14:textId="77777777" w:rsidR="00B42575" w:rsidRPr="00246DD9" w:rsidRDefault="00B42575" w:rsidP="00CF0A4C">
            <w:pPr>
              <w:pStyle w:val="TableTextRight"/>
            </w:pPr>
          </w:p>
        </w:tc>
      </w:tr>
      <w:tr w:rsidR="00B42575" w:rsidRPr="00246DD9" w14:paraId="65DB7F16"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2E9BF3C" w14:textId="77777777" w:rsidR="00B42575" w:rsidRPr="00455FE3" w:rsidRDefault="00B42575" w:rsidP="00CF0A4C">
            <w:pPr>
              <w:pStyle w:val="TableTextBold"/>
              <w:rPr>
                <w:sz w:val="22"/>
              </w:rPr>
            </w:pPr>
            <w:r w:rsidRPr="00455FE3">
              <w:rPr>
                <w:sz w:val="22"/>
              </w:rPr>
              <w:t>Level of overall client satisfaction</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070A3E1" w14:textId="77777777" w:rsidR="00B42575" w:rsidRPr="00246DD9" w:rsidRDefault="00B42575" w:rsidP="00CF0A4C">
            <w:pPr>
              <w:pStyle w:val="TableTextRight"/>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4BDFF4" w14:textId="77777777" w:rsidR="00B42575" w:rsidRPr="00246DD9" w:rsidRDefault="00B42575" w:rsidP="00CF0A4C">
            <w:pPr>
              <w:pStyle w:val="TableTextRight"/>
            </w:pPr>
          </w:p>
        </w:tc>
      </w:tr>
      <w:tr w:rsidR="00FF2A9D" w:rsidRPr="00246DD9" w14:paraId="124FAC9A"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E5BF7D7" w14:textId="77777777" w:rsidR="00FF2A9D" w:rsidRPr="00455FE3" w:rsidRDefault="00FF2A9D" w:rsidP="007F6366">
            <w:pPr>
              <w:pStyle w:val="TableTextBold"/>
              <w:ind w:left="354"/>
              <w:rPr>
                <w:sz w:val="22"/>
              </w:rPr>
            </w:pPr>
            <w:r w:rsidRPr="00455FE3">
              <w:rPr>
                <w:sz w:val="22"/>
              </w:rPr>
              <w:t>Public Housing</w:t>
            </w:r>
          </w:p>
          <w:p w14:paraId="0E0717DC" w14:textId="33BE07AC" w:rsidR="00FF2A9D" w:rsidRPr="00455FE3" w:rsidRDefault="00FF2A9D" w:rsidP="007F6366">
            <w:pPr>
              <w:pStyle w:val="TableTextBold"/>
              <w:ind w:left="354"/>
              <w:rPr>
                <w:sz w:val="22"/>
                <w:szCs w:val="14"/>
              </w:rPr>
            </w:pPr>
            <w:r w:rsidRPr="00455FE3">
              <w:rPr>
                <w:b w:val="0"/>
                <w:sz w:val="22"/>
                <w:szCs w:val="14"/>
              </w:rPr>
              <w:t>Variance between 2016-17 target/estimate and 2016-17 actual is due to improved client satisfaction that may be attributed to a range of service delivery factors such as the quality of dwelling conditions and implementation of four new policies: Fair absence from your home, Fair listing for vacancy, Fair expectations of behaviour and Fairer Rent Policy.</w:t>
            </w:r>
            <w:r w:rsidRPr="00455FE3">
              <w:rPr>
                <w:sz w:val="22"/>
                <w:szCs w:val="14"/>
              </w:rPr>
              <w:t xml:space="preserve">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12B0546" w14:textId="74DBAD97" w:rsidR="00FF2A9D" w:rsidRPr="00246DD9" w:rsidRDefault="00985CFC" w:rsidP="00CF0A4C">
            <w:pPr>
              <w:pStyle w:val="TableTextRight"/>
            </w:pPr>
            <w:r>
              <w:t>80%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762AAB" w14:textId="38724CD8" w:rsidR="00FF2A9D" w:rsidRPr="00246DD9" w:rsidRDefault="00985CFC" w:rsidP="00CF0A4C">
            <w:pPr>
              <w:pStyle w:val="TableTextRight"/>
            </w:pPr>
            <w:r>
              <w:t>85.8%</w:t>
            </w:r>
          </w:p>
        </w:tc>
      </w:tr>
      <w:tr w:rsidR="00FF2A9D" w:rsidRPr="00246DD9" w14:paraId="031EC714"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554C061" w14:textId="77777777" w:rsidR="00FF2A9D" w:rsidRPr="00455FE3" w:rsidRDefault="00985CFC" w:rsidP="007F6366">
            <w:pPr>
              <w:pStyle w:val="TableTextBold"/>
              <w:ind w:left="368"/>
              <w:rPr>
                <w:sz w:val="22"/>
              </w:rPr>
            </w:pPr>
            <w:r w:rsidRPr="00455FE3">
              <w:rPr>
                <w:sz w:val="22"/>
              </w:rPr>
              <w:t>Community Housing</w:t>
            </w:r>
          </w:p>
          <w:p w14:paraId="4A1488B4" w14:textId="72D685A4" w:rsidR="00985CFC" w:rsidRPr="00DC4782" w:rsidRDefault="00985CFC" w:rsidP="007F6366">
            <w:pPr>
              <w:pStyle w:val="TableTextBold"/>
              <w:ind w:left="368"/>
              <w:rPr>
                <w:b w:val="0"/>
                <w:sz w:val="22"/>
                <w:szCs w:val="14"/>
              </w:rPr>
            </w:pPr>
            <w:r w:rsidRPr="00DC4782">
              <w:rPr>
                <w:b w:val="0"/>
                <w:sz w:val="22"/>
                <w:szCs w:val="14"/>
              </w:rPr>
              <w:t>Variance between 2016–17 target/estimate and 2016–17 actual is due to the original estimate being based on available data and anticipated trends at that time. The 2016–17 actual is the 2016 satisfaction result published in the Report on Government Services 2017. Ongoing registration of community housing providers under the National Regulatory System for Community Housing is anticipated to improve tenant satisfaction in the future. The scheme provides tenants with greater assurance about the social housing system by establishing a consistent regulatory environment and clear performance measures for providers to meet.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0CD3F6E" w14:textId="668E6201" w:rsidR="00FF2A9D" w:rsidRPr="00246DD9" w:rsidRDefault="00985CFC" w:rsidP="00CF0A4C">
            <w:pPr>
              <w:pStyle w:val="TableTextRight"/>
            </w:pPr>
            <w:r>
              <w:t>80%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D0710DD" w14:textId="41DDC48D" w:rsidR="00FF2A9D" w:rsidRPr="00246DD9" w:rsidRDefault="00985CFC" w:rsidP="00CF0A4C">
            <w:pPr>
              <w:pStyle w:val="TableTextRight"/>
            </w:pPr>
            <w:r>
              <w:t>78.3%</w:t>
            </w:r>
          </w:p>
        </w:tc>
      </w:tr>
      <w:tr w:rsidR="00B42575" w:rsidRPr="00246DD9" w14:paraId="48280D8E"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0A75AF7" w14:textId="77777777" w:rsidR="00B42575" w:rsidRPr="00455FE3" w:rsidRDefault="00B42575" w:rsidP="00CF0A4C">
            <w:pPr>
              <w:pStyle w:val="Tabletextindent"/>
              <w:rPr>
                <w:sz w:val="22"/>
              </w:rPr>
            </w:pPr>
            <w:r w:rsidRPr="00455FE3">
              <w:rPr>
                <w:sz w:val="22"/>
              </w:rPr>
              <w:t>Bond Loans</w:t>
            </w:r>
          </w:p>
          <w:p w14:paraId="1F5985C2" w14:textId="2242D683" w:rsidR="00B42575" w:rsidRPr="00455FE3" w:rsidRDefault="00B42575" w:rsidP="00A635CF">
            <w:pPr>
              <w:pStyle w:val="Tabletextindent"/>
              <w:rPr>
                <w:sz w:val="22"/>
                <w:szCs w:val="14"/>
              </w:rPr>
            </w:pPr>
            <w:r w:rsidRPr="00455FE3">
              <w:rPr>
                <w:sz w:val="22"/>
                <w:szCs w:val="14"/>
              </w:rPr>
              <w:t xml:space="preserve">This service standard </w:t>
            </w:r>
            <w:r w:rsidR="00190D22" w:rsidRPr="00455FE3">
              <w:rPr>
                <w:sz w:val="22"/>
                <w:szCs w:val="14"/>
              </w:rPr>
              <w:t xml:space="preserve">has been </w:t>
            </w:r>
            <w:r w:rsidRPr="00455FE3">
              <w:rPr>
                <w:sz w:val="22"/>
                <w:szCs w:val="14"/>
              </w:rPr>
              <w:t>discontinued</w:t>
            </w:r>
            <w:r w:rsidR="00190D22" w:rsidRPr="00455FE3">
              <w:rPr>
                <w:sz w:val="22"/>
                <w:szCs w:val="14"/>
              </w:rPr>
              <w:t xml:space="preserve"> in the Service Delivery Statement </w:t>
            </w:r>
            <w:r w:rsidR="000C39C3" w:rsidRPr="00455FE3">
              <w:rPr>
                <w:sz w:val="22"/>
                <w:szCs w:val="14"/>
              </w:rPr>
              <w:t>2017–18</w:t>
            </w:r>
            <w:r w:rsidR="00190D22" w:rsidRPr="00455FE3">
              <w:rPr>
                <w:sz w:val="22"/>
                <w:szCs w:val="14"/>
              </w:rPr>
              <w:t xml:space="preserve"> </w:t>
            </w:r>
            <w:r w:rsidRPr="00455FE3">
              <w:rPr>
                <w:sz w:val="22"/>
                <w:szCs w:val="14"/>
              </w:rPr>
              <w:t xml:space="preserve">as it only represents a portion of all private housing products offered by the department. In addition, the Bond Loan survey is only conducted on a triennial basis, which is viewed as inadequate for annual measurement purposes. </w:t>
            </w:r>
            <w:r w:rsidR="00D43741" w:rsidRPr="00455FE3">
              <w:rPr>
                <w:sz w:val="22"/>
                <w:szCs w:val="14"/>
              </w:rPr>
              <w:t>Any future survey results will be reported through Annual Reports.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C0AE0D5" w14:textId="77777777" w:rsidR="00B42575" w:rsidRPr="009547C0" w:rsidRDefault="00B42575" w:rsidP="00CF0A4C">
            <w:pPr>
              <w:pStyle w:val="TableTextRight"/>
            </w:pPr>
            <w:r>
              <w:t>95%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8600EE3" w14:textId="51886144" w:rsidR="00B42575" w:rsidRPr="009547C0" w:rsidRDefault="00D67202" w:rsidP="00CF0A4C">
            <w:pPr>
              <w:pStyle w:val="TableTextRight"/>
            </w:pPr>
            <w:r w:rsidRPr="00B6318B">
              <w:t>96%</w:t>
            </w:r>
          </w:p>
        </w:tc>
      </w:tr>
      <w:tr w:rsidR="00B42575" w:rsidRPr="00246DD9" w14:paraId="3756A1CE"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39CDA6D" w14:textId="77777777" w:rsidR="00B42575" w:rsidRPr="00455FE3" w:rsidRDefault="00B42575" w:rsidP="00CF0A4C">
            <w:pPr>
              <w:pStyle w:val="Tabletextindent"/>
              <w:rPr>
                <w:sz w:val="22"/>
              </w:rPr>
            </w:pPr>
            <w:r w:rsidRPr="00455FE3">
              <w:rPr>
                <w:sz w:val="22"/>
              </w:rPr>
              <w:t>Home Assist Secure</w:t>
            </w:r>
          </w:p>
          <w:p w14:paraId="73745944" w14:textId="167404AE" w:rsidR="00B42575" w:rsidRPr="00455FE3" w:rsidRDefault="00B42575" w:rsidP="00A635CF">
            <w:pPr>
              <w:pStyle w:val="Tabletextindent"/>
              <w:rPr>
                <w:sz w:val="22"/>
                <w:szCs w:val="14"/>
              </w:rPr>
            </w:pPr>
            <w:r w:rsidRPr="00455FE3">
              <w:rPr>
                <w:sz w:val="22"/>
                <w:szCs w:val="14"/>
              </w:rPr>
              <w:t xml:space="preserve">This service standard </w:t>
            </w:r>
            <w:r w:rsidR="00D43741" w:rsidRPr="00455FE3">
              <w:rPr>
                <w:sz w:val="22"/>
                <w:szCs w:val="14"/>
              </w:rPr>
              <w:t xml:space="preserve">has been </w:t>
            </w:r>
            <w:r w:rsidRPr="00455FE3">
              <w:rPr>
                <w:sz w:val="22"/>
                <w:szCs w:val="14"/>
              </w:rPr>
              <w:t xml:space="preserve">discontinued </w:t>
            </w:r>
            <w:r w:rsidR="00D43741" w:rsidRPr="00455FE3">
              <w:rPr>
                <w:sz w:val="22"/>
                <w:szCs w:val="14"/>
              </w:rPr>
              <w:t xml:space="preserve">in the Service Delivery Statement </w:t>
            </w:r>
            <w:r w:rsidR="000C39C3" w:rsidRPr="00455FE3">
              <w:rPr>
                <w:sz w:val="22"/>
                <w:szCs w:val="14"/>
              </w:rPr>
              <w:t>2017–18</w:t>
            </w:r>
            <w:r w:rsidR="00D43741" w:rsidRPr="00455FE3">
              <w:rPr>
                <w:sz w:val="22"/>
                <w:szCs w:val="14"/>
              </w:rPr>
              <w:t xml:space="preserve"> </w:t>
            </w:r>
            <w:r w:rsidRPr="00455FE3">
              <w:rPr>
                <w:sz w:val="22"/>
                <w:szCs w:val="14"/>
              </w:rPr>
              <w:t xml:space="preserve">as it only represents a portion of all private housing products offered by the department. In addition, the Home Assist Secure survey is only conducted on a triennial basis, which is viewed as inadequate for annual measurement purposes. There is no </w:t>
            </w:r>
            <w:r w:rsidR="000C39C3" w:rsidRPr="00455FE3">
              <w:rPr>
                <w:sz w:val="22"/>
                <w:szCs w:val="14"/>
              </w:rPr>
              <w:t>2016–17</w:t>
            </w:r>
            <w:r w:rsidRPr="00455FE3">
              <w:rPr>
                <w:sz w:val="22"/>
                <w:szCs w:val="14"/>
              </w:rPr>
              <w:t xml:space="preserve"> target/estimate or </w:t>
            </w:r>
            <w:r w:rsidR="000C39C3" w:rsidRPr="00455FE3">
              <w:rPr>
                <w:sz w:val="22"/>
                <w:szCs w:val="14"/>
              </w:rPr>
              <w:t>2016–17</w:t>
            </w:r>
            <w:r w:rsidRPr="00455FE3">
              <w:rPr>
                <w:sz w:val="22"/>
                <w:szCs w:val="14"/>
              </w:rPr>
              <w:t xml:space="preserve"> actual as this is a triennial measure and the next survey would have been undertaken in </w:t>
            </w:r>
            <w:r w:rsidR="000C39C3" w:rsidRPr="00455FE3">
              <w:rPr>
                <w:sz w:val="22"/>
                <w:szCs w:val="14"/>
              </w:rPr>
              <w:t>2017–18</w:t>
            </w:r>
            <w:r w:rsidRPr="00455FE3">
              <w:rPr>
                <w:sz w:val="22"/>
                <w:szCs w:val="14"/>
              </w:rPr>
              <w:t xml:space="preserve">. </w:t>
            </w:r>
            <w:r w:rsidR="00D43741" w:rsidRPr="00455FE3">
              <w:rPr>
                <w:sz w:val="22"/>
                <w:szCs w:val="14"/>
              </w:rPr>
              <w:t>Any future survey results will be reported through Annual Reports.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6B9A7CE" w14:textId="77777777" w:rsidR="00B42575" w:rsidRPr="009547C0" w:rsidRDefault="00B42575" w:rsidP="00CF0A4C">
            <w:pPr>
              <w:pStyle w:val="TableTextRight"/>
            </w:pPr>
            <w:r w:rsidRPr="5E3A9904">
              <w: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B675C8F" w14:textId="73D80CB2" w:rsidR="00B42575" w:rsidRPr="009547C0" w:rsidRDefault="007C1CDC" w:rsidP="00CF0A4C">
            <w:pPr>
              <w:pStyle w:val="TableTextRight"/>
            </w:pPr>
            <w:r w:rsidRPr="00B6318B">
              <w:t>n/a</w:t>
            </w:r>
          </w:p>
        </w:tc>
      </w:tr>
      <w:tr w:rsidR="00B42575" w:rsidRPr="00246DD9" w14:paraId="7CD8242A"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515CFFA" w14:textId="26A76403" w:rsidR="00B42575" w:rsidRPr="00455FE3" w:rsidRDefault="00B42575" w:rsidP="00CF0A4C">
            <w:pPr>
              <w:pStyle w:val="TableText"/>
              <w:rPr>
                <w:sz w:val="22"/>
              </w:rPr>
            </w:pPr>
            <w:r w:rsidRPr="00455FE3">
              <w:rPr>
                <w:sz w:val="22"/>
              </w:rPr>
              <w:t>Percentage of new households assisted into Government-managed social rental housing who were in very high or high need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A825B9F" w14:textId="77777777" w:rsidR="00B42575" w:rsidRPr="009547C0" w:rsidRDefault="00B42575" w:rsidP="00CF0A4C">
            <w:pPr>
              <w:pStyle w:val="TableTextRight"/>
            </w:pPr>
            <w:r w:rsidRPr="009547C0">
              <w:t>90%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601C465" w14:textId="77777777" w:rsidR="00B42575" w:rsidRPr="009547C0" w:rsidRDefault="00B42575" w:rsidP="00CF0A4C">
            <w:pPr>
              <w:pStyle w:val="TableTextRight"/>
            </w:pPr>
            <w:r w:rsidRPr="009547C0">
              <w:t>92%</w:t>
            </w:r>
          </w:p>
        </w:tc>
      </w:tr>
      <w:tr w:rsidR="00B42575" w:rsidRPr="00246DD9" w14:paraId="12F7F3A1"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AF0586C" w14:textId="77777777" w:rsidR="00B42575" w:rsidRPr="00455FE3" w:rsidRDefault="00B42575" w:rsidP="00CF0A4C">
            <w:pPr>
              <w:pStyle w:val="TableText"/>
              <w:rPr>
                <w:sz w:val="22"/>
              </w:rPr>
            </w:pPr>
            <w:r w:rsidRPr="00455FE3">
              <w:rPr>
                <w:sz w:val="22"/>
              </w:rPr>
              <w:t>Percentage of department owned social rental housing dwellings in acceptable condition</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C3B9CAB" w14:textId="77777777" w:rsidR="00B42575" w:rsidRPr="009547C0" w:rsidRDefault="00B42575" w:rsidP="00CF0A4C">
            <w:pPr>
              <w:pStyle w:val="TableTextRight"/>
            </w:pPr>
            <w:r w:rsidRPr="009547C0">
              <w:t>98%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5F63FBC" w14:textId="1589574F" w:rsidR="00B42575" w:rsidRPr="009547C0" w:rsidRDefault="00B42575" w:rsidP="00CF0A4C">
            <w:pPr>
              <w:pStyle w:val="TableTextRight"/>
            </w:pPr>
            <w:r w:rsidRPr="009547C0">
              <w:t>98</w:t>
            </w:r>
            <w:r w:rsidR="003D60D8">
              <w:t>.9</w:t>
            </w:r>
            <w:r w:rsidRPr="009547C0">
              <w:t>%</w:t>
            </w:r>
          </w:p>
        </w:tc>
      </w:tr>
      <w:tr w:rsidR="00B42575" w:rsidRPr="00246DD9" w14:paraId="44A84142"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1093F55A" w14:textId="77777777" w:rsidR="00B42575" w:rsidRPr="00455FE3" w:rsidRDefault="00B42575" w:rsidP="00CF0A4C">
            <w:pPr>
              <w:pStyle w:val="TableText"/>
              <w:rPr>
                <w:sz w:val="22"/>
              </w:rPr>
            </w:pPr>
            <w:r w:rsidRPr="00455FE3">
              <w:rPr>
                <w:sz w:val="22"/>
              </w:rPr>
              <w:lastRenderedPageBreak/>
              <w:t>Percentage of clients who were homeless or at risk of homelessness who needed assistance to obtain or maintain independent housing and obtained or maintained independent housing after support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1C056C9" w14:textId="77777777" w:rsidR="00B42575" w:rsidRPr="009547C0" w:rsidRDefault="00B42575" w:rsidP="00CF0A4C">
            <w:pPr>
              <w:pStyle w:val="TableTextRight"/>
            </w:pPr>
            <w:r w:rsidRPr="009547C0">
              <w:t>64%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ACE3A88" w14:textId="77777777" w:rsidR="00B42575" w:rsidRPr="009547C0" w:rsidRDefault="00B42575" w:rsidP="00CF0A4C">
            <w:pPr>
              <w:pStyle w:val="TableTextRight"/>
            </w:pPr>
            <w:r w:rsidRPr="009547C0">
              <w:t>65.7%</w:t>
            </w:r>
          </w:p>
        </w:tc>
      </w:tr>
      <w:tr w:rsidR="00B42575" w:rsidRPr="00246DD9" w14:paraId="45CDEB4C"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5DC5041" w14:textId="62022A4E" w:rsidR="00B42575" w:rsidRPr="00455FE3" w:rsidRDefault="00B42575" w:rsidP="00CF0A4C">
            <w:pPr>
              <w:pStyle w:val="TableText"/>
              <w:rPr>
                <w:sz w:val="22"/>
                <w:szCs w:val="14"/>
              </w:rPr>
            </w:pPr>
            <w:r w:rsidRPr="00455FE3">
              <w:rPr>
                <w:sz w:val="22"/>
                <w:szCs w:val="14"/>
              </w:rPr>
              <w:t xml:space="preserve">Variance between </w:t>
            </w:r>
            <w:r w:rsidR="000C39C3" w:rsidRPr="00455FE3">
              <w:rPr>
                <w:sz w:val="22"/>
                <w:szCs w:val="14"/>
              </w:rPr>
              <w:t>2016–17</w:t>
            </w:r>
            <w:r w:rsidRPr="00455FE3">
              <w:rPr>
                <w:sz w:val="22"/>
                <w:szCs w:val="14"/>
              </w:rPr>
              <w:t xml:space="preserve"> target/estimate and </w:t>
            </w:r>
            <w:r w:rsidR="000C39C3" w:rsidRPr="00455FE3">
              <w:rPr>
                <w:sz w:val="22"/>
                <w:szCs w:val="14"/>
              </w:rPr>
              <w:t>2016–17</w:t>
            </w:r>
            <w:r w:rsidRPr="00455FE3">
              <w:rPr>
                <w:sz w:val="22"/>
                <w:szCs w:val="14"/>
              </w:rPr>
              <w:t xml:space="preserve"> actual is due to the original estimate being based on available data and anticipated trends at that time. The </w:t>
            </w:r>
            <w:r w:rsidR="000C39C3" w:rsidRPr="00455FE3">
              <w:rPr>
                <w:sz w:val="22"/>
                <w:szCs w:val="14"/>
              </w:rPr>
              <w:t>2016–17</w:t>
            </w:r>
            <w:r w:rsidRPr="00455FE3">
              <w:rPr>
                <w:sz w:val="22"/>
                <w:szCs w:val="14"/>
              </w:rPr>
              <w:t xml:space="preserve"> actual is based on published Report on Government Services data.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90AD564" w14:textId="77777777" w:rsidR="00B42575" w:rsidRPr="009547C0" w:rsidRDefault="00B42575" w:rsidP="00CF0A4C">
            <w:pPr>
              <w:pStyle w:val="TableTextRight"/>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FA91D17" w14:textId="77777777" w:rsidR="00B42575" w:rsidRPr="009547C0" w:rsidRDefault="00B42575" w:rsidP="00CF0A4C">
            <w:pPr>
              <w:pStyle w:val="TableTextRight"/>
            </w:pPr>
          </w:p>
        </w:tc>
      </w:tr>
      <w:tr w:rsidR="00B42575" w:rsidRPr="00246DD9" w14:paraId="3A8FD46F"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7C8AAD7" w14:textId="77777777" w:rsidR="00B42575" w:rsidRPr="00455FE3" w:rsidRDefault="00B42575" w:rsidP="00CF0A4C">
            <w:pPr>
              <w:pStyle w:val="TableText"/>
              <w:rPr>
                <w:rFonts w:ascii="Arial Narrow" w:hAnsi="Arial Narrow"/>
                <w:i/>
                <w:sz w:val="22"/>
                <w:szCs w:val="14"/>
              </w:rPr>
            </w:pPr>
            <w:r w:rsidRPr="00455FE3">
              <w:rPr>
                <w:sz w:val="22"/>
              </w:rPr>
              <w:t>Proportion of exits from social rental housing to private market housing that were tenant initiated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B74B52D" w14:textId="77777777" w:rsidR="00B42575" w:rsidRPr="009547C0" w:rsidRDefault="00B42575" w:rsidP="00CF0A4C">
            <w:pPr>
              <w:pStyle w:val="TableTextRight"/>
            </w:pPr>
            <w:r>
              <w:t>48%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75748C8" w14:textId="23B37E96" w:rsidR="00B42575" w:rsidRPr="00E031AE" w:rsidRDefault="003D60D8" w:rsidP="00CF0A4C">
            <w:pPr>
              <w:pStyle w:val="TableTextRight"/>
              <w:rPr>
                <w:color w:val="FF0000"/>
              </w:rPr>
            </w:pPr>
            <w:r w:rsidRPr="006A75F2">
              <w:t>49.8%</w:t>
            </w:r>
          </w:p>
        </w:tc>
      </w:tr>
      <w:tr w:rsidR="00B42575" w:rsidRPr="00246DD9" w14:paraId="27015C1C"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AD56D82" w14:textId="04A32B69" w:rsidR="00B42575" w:rsidRPr="00455FE3" w:rsidRDefault="00B42575" w:rsidP="00CF0A4C">
            <w:pPr>
              <w:pStyle w:val="TableText"/>
              <w:rPr>
                <w:rFonts w:cs="Arial"/>
                <w:color w:val="000000"/>
                <w:sz w:val="22"/>
                <w:szCs w:val="14"/>
              </w:rPr>
            </w:pPr>
            <w:r w:rsidRPr="00455FE3">
              <w:rPr>
                <w:sz w:val="22"/>
                <w:szCs w:val="14"/>
              </w:rPr>
              <w:t xml:space="preserve">This service standard </w:t>
            </w:r>
            <w:r w:rsidR="00D43741" w:rsidRPr="00455FE3">
              <w:rPr>
                <w:sz w:val="22"/>
                <w:szCs w:val="14"/>
              </w:rPr>
              <w:t xml:space="preserve">has been </w:t>
            </w:r>
            <w:r w:rsidRPr="00455FE3">
              <w:rPr>
                <w:sz w:val="22"/>
                <w:szCs w:val="14"/>
              </w:rPr>
              <w:t xml:space="preserve">discontinued </w:t>
            </w:r>
            <w:r w:rsidR="00D43741" w:rsidRPr="00455FE3">
              <w:rPr>
                <w:sz w:val="22"/>
                <w:szCs w:val="14"/>
              </w:rPr>
              <w:t xml:space="preserve">in the Service Delivery Statement </w:t>
            </w:r>
            <w:r w:rsidR="000C39C3" w:rsidRPr="00455FE3">
              <w:rPr>
                <w:sz w:val="22"/>
                <w:szCs w:val="14"/>
              </w:rPr>
              <w:t>2017–18</w:t>
            </w:r>
            <w:r w:rsidR="00D43741" w:rsidRPr="00455FE3">
              <w:rPr>
                <w:sz w:val="22"/>
                <w:szCs w:val="14"/>
              </w:rPr>
              <w:t xml:space="preserve"> </w:t>
            </w:r>
            <w:r w:rsidRPr="00455FE3">
              <w:rPr>
                <w:sz w:val="22"/>
                <w:szCs w:val="14"/>
              </w:rPr>
              <w:t>as it focuses on a small component of the overall service area and is not reflective of the department’s current service delivery focus and effort.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5EE3113" w14:textId="77777777" w:rsidR="00B42575" w:rsidRDefault="00B42575" w:rsidP="00CF0A4C">
            <w:pPr>
              <w:pStyle w:val="TableTextRight"/>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DDD89EF" w14:textId="77777777" w:rsidR="00B42575" w:rsidRPr="009547C0" w:rsidRDefault="00B42575" w:rsidP="00CF0A4C">
            <w:pPr>
              <w:pStyle w:val="TableTextRight"/>
            </w:pPr>
          </w:p>
        </w:tc>
      </w:tr>
      <w:tr w:rsidR="00B42575" w:rsidRPr="00246DD9" w14:paraId="46FAF6CE"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A37602E" w14:textId="77777777" w:rsidR="00B42575" w:rsidRPr="00455FE3" w:rsidRDefault="00B42575" w:rsidP="00CF0A4C">
            <w:pPr>
              <w:pStyle w:val="TableText"/>
              <w:rPr>
                <w:sz w:val="22"/>
              </w:rPr>
            </w:pPr>
            <w:r w:rsidRPr="00455FE3">
              <w:rPr>
                <w:sz w:val="22"/>
              </w:rPr>
              <w:t>Proportion of total new households assisted to remain in or move to the private housing rental market that were assisted through National Rental Affordability Scheme, RentConnect, Rental Grants, Housing and Employment Program or Bond Loans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CC174FF" w14:textId="77777777" w:rsidR="00B42575" w:rsidRDefault="00B42575" w:rsidP="00CF0A4C">
            <w:pPr>
              <w:pStyle w:val="TableTextRight"/>
            </w:pPr>
            <w:r>
              <w:t>45%</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4B24B2F" w14:textId="32FD6BBC" w:rsidR="00B42575" w:rsidRPr="009547C0" w:rsidRDefault="00362B0B" w:rsidP="00CF0A4C">
            <w:pPr>
              <w:pStyle w:val="TableTextRight"/>
            </w:pPr>
            <w:r w:rsidRPr="00A635CF">
              <w:t>52.8%</w:t>
            </w:r>
          </w:p>
        </w:tc>
      </w:tr>
      <w:tr w:rsidR="00B42575" w:rsidRPr="00246DD9" w14:paraId="14CEB6F7"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4DB2789" w14:textId="18B837F4" w:rsidR="00B42575" w:rsidRPr="00455FE3" w:rsidRDefault="00B42575" w:rsidP="00CF0A4C">
            <w:pPr>
              <w:pStyle w:val="TableText"/>
              <w:rPr>
                <w:rFonts w:cs="Arial"/>
                <w:color w:val="000000"/>
                <w:sz w:val="22"/>
                <w:szCs w:val="14"/>
              </w:rPr>
            </w:pPr>
            <w:r w:rsidRPr="00455FE3">
              <w:rPr>
                <w:sz w:val="22"/>
                <w:szCs w:val="14"/>
              </w:rPr>
              <w:t xml:space="preserve">This service standard </w:t>
            </w:r>
            <w:r w:rsidR="00F25A86" w:rsidRPr="00455FE3">
              <w:rPr>
                <w:sz w:val="22"/>
                <w:szCs w:val="14"/>
              </w:rPr>
              <w:t xml:space="preserve">has been </w:t>
            </w:r>
            <w:r w:rsidRPr="00455FE3">
              <w:rPr>
                <w:sz w:val="22"/>
                <w:szCs w:val="14"/>
              </w:rPr>
              <w:t xml:space="preserve">discontinued </w:t>
            </w:r>
            <w:r w:rsidR="00F25A86" w:rsidRPr="00455FE3">
              <w:rPr>
                <w:sz w:val="22"/>
                <w:szCs w:val="14"/>
              </w:rPr>
              <w:t xml:space="preserve">in the Service Delivery Statement </w:t>
            </w:r>
            <w:r w:rsidR="000C39C3" w:rsidRPr="00455FE3">
              <w:rPr>
                <w:sz w:val="22"/>
                <w:szCs w:val="14"/>
              </w:rPr>
              <w:t>2017–18</w:t>
            </w:r>
            <w:r w:rsidR="00F25A86" w:rsidRPr="00455FE3">
              <w:rPr>
                <w:sz w:val="22"/>
                <w:szCs w:val="14"/>
              </w:rPr>
              <w:t xml:space="preserve"> </w:t>
            </w:r>
            <w:r w:rsidRPr="00455FE3">
              <w:rPr>
                <w:sz w:val="22"/>
                <w:szCs w:val="14"/>
              </w:rPr>
              <w:t xml:space="preserve">due to a change in the calculation methodology. This measure has been replaced by a new service standard </w:t>
            </w:r>
            <w:r w:rsidR="00F25A86" w:rsidRPr="00455FE3">
              <w:rPr>
                <w:sz w:val="22"/>
                <w:szCs w:val="14"/>
              </w:rPr>
              <w:t xml:space="preserve">which includes </w:t>
            </w:r>
            <w:r w:rsidRPr="00455FE3">
              <w:rPr>
                <w:sz w:val="22"/>
                <w:szCs w:val="14"/>
              </w:rPr>
              <w:t>the Queensland State</w:t>
            </w:r>
            <w:r w:rsidR="005C0509" w:rsidRPr="00455FE3">
              <w:rPr>
                <w:sz w:val="22"/>
                <w:szCs w:val="14"/>
              </w:rPr>
              <w:t>-</w:t>
            </w:r>
            <w:r w:rsidRPr="00455FE3">
              <w:rPr>
                <w:sz w:val="22"/>
                <w:szCs w:val="14"/>
              </w:rPr>
              <w:t xml:space="preserve">wide Tenant Advice and Referral Service (QSTARS) from </w:t>
            </w:r>
            <w:r w:rsidR="000C39C3" w:rsidRPr="00455FE3">
              <w:rPr>
                <w:sz w:val="22"/>
                <w:szCs w:val="14"/>
              </w:rPr>
              <w:t>2017–18</w:t>
            </w:r>
            <w:r w:rsidRPr="00455FE3">
              <w:rPr>
                <w:sz w:val="22"/>
                <w:szCs w:val="14"/>
              </w:rPr>
              <w:t xml:space="preserve">.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D8D251B" w14:textId="77777777" w:rsidR="00B42575" w:rsidRDefault="00B42575" w:rsidP="00CF0A4C">
            <w:pPr>
              <w:pStyle w:val="TableTextRight"/>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AD55299" w14:textId="77777777" w:rsidR="00B42575" w:rsidRPr="009547C0" w:rsidRDefault="00B42575" w:rsidP="00CF0A4C">
            <w:pPr>
              <w:pStyle w:val="TableTextRight"/>
            </w:pPr>
          </w:p>
        </w:tc>
      </w:tr>
      <w:tr w:rsidR="00B42575" w:rsidRPr="00246DD9" w14:paraId="06DF1791"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6A821C6" w14:textId="77777777" w:rsidR="00B42575" w:rsidRPr="00455FE3" w:rsidRDefault="00B42575" w:rsidP="00CF0A4C">
            <w:pPr>
              <w:pStyle w:val="TableText"/>
              <w:rPr>
                <w:sz w:val="22"/>
                <w:szCs w:val="19"/>
              </w:rPr>
            </w:pPr>
            <w:r w:rsidRPr="00455FE3">
              <w:rPr>
                <w:sz w:val="22"/>
              </w:rPr>
              <w:t>Proportion of newly constructed social housing dwellings meeting the Livable Housing Design guidelines gold or platinum standards</w:t>
            </w:r>
          </w:p>
          <w:p w14:paraId="18C2B1E5" w14:textId="652BB060" w:rsidR="00256810" w:rsidRPr="00455FE3" w:rsidRDefault="58E99185" w:rsidP="00CF0A4C">
            <w:pPr>
              <w:pStyle w:val="TableText"/>
              <w:rPr>
                <w:sz w:val="22"/>
                <w:szCs w:val="14"/>
              </w:rPr>
            </w:pPr>
            <w:r w:rsidRPr="00455FE3">
              <w:rPr>
                <w:sz w:val="22"/>
                <w:szCs w:val="14"/>
              </w:rPr>
              <w:t xml:space="preserve">Variance between </w:t>
            </w:r>
            <w:r w:rsidR="000C39C3" w:rsidRPr="00455FE3">
              <w:rPr>
                <w:sz w:val="22"/>
                <w:szCs w:val="14"/>
              </w:rPr>
              <w:t>2016–17</w:t>
            </w:r>
            <w:r w:rsidRPr="00455FE3">
              <w:rPr>
                <w:sz w:val="22"/>
                <w:szCs w:val="14"/>
              </w:rPr>
              <w:t xml:space="preserve"> target/estimate and </w:t>
            </w:r>
            <w:r w:rsidR="000C39C3" w:rsidRPr="00455FE3">
              <w:rPr>
                <w:sz w:val="22"/>
                <w:szCs w:val="14"/>
              </w:rPr>
              <w:t>2016–17</w:t>
            </w:r>
            <w:r w:rsidRPr="00455FE3">
              <w:rPr>
                <w:sz w:val="22"/>
                <w:szCs w:val="14"/>
              </w:rPr>
              <w:t xml:space="preserve"> actual is due to the composition of completed dwellings varying to the origin</w:t>
            </w:r>
            <w:r w:rsidR="001B3E5B" w:rsidRPr="00455FE3">
              <w:rPr>
                <w:sz w:val="22"/>
                <w:szCs w:val="14"/>
              </w:rPr>
              <w:t>al</w:t>
            </w:r>
            <w:r w:rsidRPr="00455FE3">
              <w:rPr>
                <w:sz w:val="22"/>
                <w:szCs w:val="14"/>
              </w:rPr>
              <w:t xml:space="preserve"> plan. Some dwellings not requiring accessibility features were completed earlier than planned, and some with accessibility features originally planned to</w:t>
            </w:r>
            <w:r w:rsidR="002E22D0" w:rsidRPr="00455FE3">
              <w:rPr>
                <w:sz w:val="22"/>
                <w:szCs w:val="14"/>
              </w:rPr>
              <w:t xml:space="preserve"> be</w:t>
            </w:r>
            <w:r w:rsidRPr="00455FE3">
              <w:rPr>
                <w:sz w:val="22"/>
                <w:szCs w:val="14"/>
              </w:rPr>
              <w:t xml:space="preserve"> complete</w:t>
            </w:r>
            <w:r w:rsidR="002E22D0" w:rsidRPr="00455FE3">
              <w:rPr>
                <w:sz w:val="22"/>
                <w:szCs w:val="14"/>
              </w:rPr>
              <w:t>d</w:t>
            </w:r>
            <w:r w:rsidRPr="00455FE3">
              <w:rPr>
                <w:sz w:val="22"/>
                <w:szCs w:val="14"/>
              </w:rPr>
              <w:t xml:space="preserve"> in </w:t>
            </w:r>
            <w:r w:rsidR="000C39C3" w:rsidRPr="00455FE3">
              <w:rPr>
                <w:sz w:val="22"/>
                <w:szCs w:val="14"/>
              </w:rPr>
              <w:t>2016–17</w:t>
            </w:r>
            <w:r w:rsidRPr="00455FE3">
              <w:rPr>
                <w:sz w:val="22"/>
                <w:szCs w:val="14"/>
              </w:rPr>
              <w:t xml:space="preserve"> will now </w:t>
            </w:r>
            <w:r w:rsidR="002E22D0" w:rsidRPr="00455FE3">
              <w:rPr>
                <w:sz w:val="22"/>
                <w:szCs w:val="14"/>
              </w:rPr>
              <w:t xml:space="preserve">be </w:t>
            </w:r>
            <w:r w:rsidRPr="00455FE3">
              <w:rPr>
                <w:sz w:val="22"/>
                <w:szCs w:val="14"/>
              </w:rPr>
              <w:t>complete</w:t>
            </w:r>
            <w:r w:rsidR="002E22D0" w:rsidRPr="00455FE3">
              <w:rPr>
                <w:sz w:val="22"/>
                <w:szCs w:val="14"/>
              </w:rPr>
              <w:t>d</w:t>
            </w:r>
            <w:r w:rsidRPr="00455FE3">
              <w:rPr>
                <w:sz w:val="22"/>
                <w:szCs w:val="14"/>
              </w:rPr>
              <w:t xml:space="preserve"> in </w:t>
            </w:r>
            <w:r w:rsidR="000C39C3" w:rsidRPr="00455FE3">
              <w:rPr>
                <w:sz w:val="22"/>
                <w:szCs w:val="14"/>
              </w:rPr>
              <w:t>2017–18</w:t>
            </w:r>
            <w:r w:rsidRPr="00455FE3">
              <w:rPr>
                <w:sz w:val="22"/>
                <w:szCs w:val="14"/>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5C0F7BD" w14:textId="77777777" w:rsidR="00B42575" w:rsidRPr="009547C0" w:rsidRDefault="00B42575" w:rsidP="00CF0A4C">
            <w:pPr>
              <w:pStyle w:val="TableTextRight"/>
            </w:pPr>
            <w:r w:rsidRPr="009547C0">
              <w:t>50%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6ECD61E" w14:textId="18E99230" w:rsidR="00B42575" w:rsidRPr="009547C0" w:rsidRDefault="00B42575" w:rsidP="00CF0A4C">
            <w:pPr>
              <w:pStyle w:val="TableTextRight"/>
            </w:pPr>
            <w:r w:rsidRPr="009547C0">
              <w:t>4</w:t>
            </w:r>
            <w:r w:rsidR="00B84632">
              <w:t>4</w:t>
            </w:r>
            <w:r w:rsidRPr="009547C0">
              <w:t>%</w:t>
            </w:r>
          </w:p>
        </w:tc>
      </w:tr>
      <w:tr w:rsidR="00B42575" w:rsidRPr="00246DD9" w14:paraId="1C71ADF4"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797C0E9" w14:textId="77777777" w:rsidR="00B42575" w:rsidRPr="00455FE3" w:rsidRDefault="00B42575" w:rsidP="00CF0A4C">
            <w:pPr>
              <w:pStyle w:val="TableText"/>
              <w:rPr>
                <w:sz w:val="22"/>
                <w:szCs w:val="22"/>
              </w:rPr>
            </w:pPr>
            <w:r w:rsidRPr="00455FE3">
              <w:rPr>
                <w:sz w:val="22"/>
                <w:szCs w:val="22"/>
              </w:rPr>
              <w:t>Average wait time to allocation for assistance (months) with Government-managed social rental housing for clients in very high or high need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05AC787" w14:textId="77777777" w:rsidR="00B42575" w:rsidRPr="009547C0" w:rsidRDefault="00B42575" w:rsidP="00CF0A4C">
            <w:pPr>
              <w:pStyle w:val="TableTextRight"/>
            </w:pPr>
            <w:r w:rsidRPr="009547C0">
              <w:t>8</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5A52B0F" w14:textId="5399F01C" w:rsidR="00B42575" w:rsidRPr="009547C0" w:rsidRDefault="008D630C" w:rsidP="00CF0A4C">
            <w:pPr>
              <w:pStyle w:val="TableTextRight"/>
            </w:pPr>
            <w:r>
              <w:t>6.5</w:t>
            </w:r>
          </w:p>
        </w:tc>
      </w:tr>
      <w:tr w:rsidR="00B42575" w:rsidRPr="00246DD9" w14:paraId="029EC033"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195B33C" w14:textId="34E517CB" w:rsidR="00B42575" w:rsidRPr="00455FE3" w:rsidRDefault="00B42575" w:rsidP="00CF0A4C">
            <w:pPr>
              <w:pStyle w:val="TableText"/>
              <w:rPr>
                <w:sz w:val="22"/>
                <w:szCs w:val="22"/>
              </w:rPr>
            </w:pPr>
            <w:r w:rsidRPr="00455FE3">
              <w:rPr>
                <w:sz w:val="22"/>
                <w:szCs w:val="22"/>
              </w:rPr>
              <w:t xml:space="preserve">Variance between </w:t>
            </w:r>
            <w:r w:rsidR="000C39C3" w:rsidRPr="00455FE3">
              <w:rPr>
                <w:sz w:val="22"/>
                <w:szCs w:val="22"/>
              </w:rPr>
              <w:t>2016–17</w:t>
            </w:r>
            <w:r w:rsidRPr="00455FE3">
              <w:rPr>
                <w:sz w:val="22"/>
                <w:szCs w:val="22"/>
              </w:rPr>
              <w:t xml:space="preserve"> target/estimate and </w:t>
            </w:r>
            <w:r w:rsidR="000C39C3" w:rsidRPr="00455FE3">
              <w:rPr>
                <w:sz w:val="22"/>
                <w:szCs w:val="22"/>
              </w:rPr>
              <w:t>2016–17</w:t>
            </w:r>
            <w:r w:rsidRPr="00455FE3">
              <w:rPr>
                <w:sz w:val="22"/>
                <w:szCs w:val="22"/>
              </w:rPr>
              <w:t xml:space="preserve"> actual is due to a slight increase in the number of allocations in recent months. While allocation times improved in </w:t>
            </w:r>
            <w:r w:rsidR="000C39C3" w:rsidRPr="00455FE3">
              <w:rPr>
                <w:sz w:val="22"/>
                <w:szCs w:val="22"/>
              </w:rPr>
              <w:t>2016–17</w:t>
            </w:r>
            <w:r w:rsidRPr="00455FE3">
              <w:rPr>
                <w:sz w:val="22"/>
                <w:szCs w:val="22"/>
              </w:rPr>
              <w:t xml:space="preserve">, tightening of the rental market and other external housing market conditions are likely to continue to have an effect during </w:t>
            </w:r>
            <w:r w:rsidR="000C39C3" w:rsidRPr="00455FE3">
              <w:rPr>
                <w:sz w:val="22"/>
                <w:szCs w:val="22"/>
              </w:rPr>
              <w:t>2017–18</w:t>
            </w:r>
            <w:r w:rsidRPr="00455FE3">
              <w:rPr>
                <w:sz w:val="22"/>
                <w:szCs w:val="22"/>
              </w:rPr>
              <w:t>.</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F199720" w14:textId="77777777" w:rsidR="00B42575" w:rsidRPr="009547C0" w:rsidRDefault="00B42575" w:rsidP="00CF0A4C">
            <w:pPr>
              <w:pStyle w:val="TableTextRight"/>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3C75F46" w14:textId="77777777" w:rsidR="00B42575" w:rsidRPr="009547C0" w:rsidRDefault="00B42575" w:rsidP="00CF0A4C">
            <w:pPr>
              <w:pStyle w:val="TableTextRight"/>
            </w:pPr>
          </w:p>
        </w:tc>
      </w:tr>
      <w:tr w:rsidR="00B42575" w:rsidRPr="00246DD9" w14:paraId="260D9BC0"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1F4007BF" w14:textId="77777777" w:rsidR="00B42575" w:rsidRPr="00455FE3" w:rsidRDefault="00B42575" w:rsidP="00CF0A4C">
            <w:pPr>
              <w:pStyle w:val="TableText"/>
              <w:rPr>
                <w:sz w:val="22"/>
                <w:szCs w:val="22"/>
              </w:rPr>
            </w:pPr>
            <w:r w:rsidRPr="00455FE3">
              <w:rPr>
                <w:sz w:val="22"/>
                <w:szCs w:val="22"/>
              </w:rPr>
              <w:t>Percentage of homelessness services clients who requested assistance relating to domestic and family violence and received this assistance</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4EF7764" w14:textId="77777777" w:rsidR="00B42575" w:rsidRPr="009547C0" w:rsidRDefault="00B42575" w:rsidP="00CF0A4C">
            <w:pPr>
              <w:pStyle w:val="TableTextRight"/>
            </w:pPr>
            <w:r w:rsidRPr="009547C0">
              <w:t>87%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1C3F7FF" w14:textId="77777777" w:rsidR="00B42575" w:rsidRPr="009547C0" w:rsidRDefault="00B42575" w:rsidP="00CF0A4C">
            <w:pPr>
              <w:pStyle w:val="TableTextRight"/>
            </w:pPr>
            <w:r w:rsidRPr="009547C0">
              <w:t>87.5%</w:t>
            </w:r>
          </w:p>
        </w:tc>
      </w:tr>
      <w:tr w:rsidR="00B42575" w:rsidRPr="00246DD9" w14:paraId="5A06718C"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31CCB5F" w14:textId="421DBA09" w:rsidR="00B42575" w:rsidRPr="00455FE3" w:rsidRDefault="00B42575" w:rsidP="00CF0A4C">
            <w:pPr>
              <w:pStyle w:val="TableText"/>
              <w:rPr>
                <w:sz w:val="22"/>
                <w:szCs w:val="22"/>
              </w:rPr>
            </w:pPr>
            <w:r w:rsidRPr="00455FE3">
              <w:rPr>
                <w:sz w:val="22"/>
                <w:szCs w:val="22"/>
              </w:rPr>
              <w:t>Percentage of under</w:t>
            </w:r>
            <w:r w:rsidR="007F6366" w:rsidRPr="00455FE3">
              <w:rPr>
                <w:sz w:val="22"/>
                <w:szCs w:val="22"/>
              </w:rPr>
              <w:t>-</w:t>
            </w:r>
            <w:r w:rsidRPr="00455FE3">
              <w:rPr>
                <w:sz w:val="22"/>
                <w:szCs w:val="22"/>
              </w:rPr>
              <w:t>occupied Government-owned and managed social rental housing</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413F3D3" w14:textId="77777777" w:rsidR="00B42575" w:rsidRPr="009547C0" w:rsidRDefault="00B42575" w:rsidP="00CF0A4C">
            <w:pPr>
              <w:pStyle w:val="TableTextRight"/>
            </w:pPr>
            <w:r w:rsidRPr="009547C0">
              <w:t>14.0%</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C7D9D3F" w14:textId="77777777" w:rsidR="00B42575" w:rsidRPr="009547C0" w:rsidRDefault="00B42575" w:rsidP="00CF0A4C">
            <w:pPr>
              <w:pStyle w:val="TableTextRight"/>
            </w:pPr>
            <w:r w:rsidRPr="009547C0">
              <w:t>15.8%</w:t>
            </w:r>
          </w:p>
        </w:tc>
      </w:tr>
      <w:tr w:rsidR="00B42575" w:rsidRPr="00246DD9" w14:paraId="0C1C14F8"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43EE4C5" w14:textId="28C8267D" w:rsidR="00B42575" w:rsidRPr="00455FE3" w:rsidRDefault="00B42575" w:rsidP="00CF0A4C">
            <w:pPr>
              <w:pStyle w:val="TableText"/>
              <w:rPr>
                <w:sz w:val="22"/>
                <w:szCs w:val="22"/>
              </w:rPr>
            </w:pPr>
            <w:r w:rsidRPr="00455FE3">
              <w:rPr>
                <w:sz w:val="22"/>
                <w:szCs w:val="22"/>
              </w:rPr>
              <w:lastRenderedPageBreak/>
              <w:t xml:space="preserve">Variance between </w:t>
            </w:r>
            <w:r w:rsidR="000C39C3" w:rsidRPr="00455FE3">
              <w:rPr>
                <w:sz w:val="22"/>
                <w:szCs w:val="22"/>
              </w:rPr>
              <w:t>2016–17</w:t>
            </w:r>
            <w:r w:rsidRPr="00455FE3">
              <w:rPr>
                <w:sz w:val="22"/>
                <w:szCs w:val="22"/>
              </w:rPr>
              <w:t xml:space="preserve"> target/estimate and </w:t>
            </w:r>
            <w:r w:rsidR="000C39C3" w:rsidRPr="00455FE3">
              <w:rPr>
                <w:sz w:val="22"/>
                <w:szCs w:val="22"/>
              </w:rPr>
              <w:t>2016–17</w:t>
            </w:r>
            <w:r w:rsidRPr="00455FE3">
              <w:rPr>
                <w:sz w:val="22"/>
                <w:szCs w:val="22"/>
              </w:rPr>
              <w:t xml:space="preserve"> actual is due to maintaining existing practices in anticipation of a policy review and broader strategy being developed and implemented in </w:t>
            </w:r>
            <w:r w:rsidR="000C39C3" w:rsidRPr="00455FE3">
              <w:rPr>
                <w:sz w:val="22"/>
                <w:szCs w:val="22"/>
              </w:rPr>
              <w:t>2017–18</w:t>
            </w:r>
            <w:r w:rsidRPr="00455FE3">
              <w:rPr>
                <w:sz w:val="22"/>
                <w:szCs w:val="22"/>
              </w:rPr>
              <w:t xml:space="preserve"> to manage under-occupancy. </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A8DEEF" w14:textId="77777777" w:rsidR="00B42575" w:rsidRPr="009547C0" w:rsidRDefault="00B42575" w:rsidP="00CF0A4C">
            <w:pPr>
              <w:pStyle w:val="TableTextRight"/>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D7D5469" w14:textId="77777777" w:rsidR="00B42575" w:rsidRPr="009547C0" w:rsidRDefault="00B42575" w:rsidP="00CF0A4C">
            <w:pPr>
              <w:pStyle w:val="TableTextRight"/>
            </w:pPr>
          </w:p>
        </w:tc>
      </w:tr>
      <w:tr w:rsidR="00B42575" w:rsidRPr="00246DD9" w14:paraId="492C0795"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9AA4910" w14:textId="5F6518FC" w:rsidR="00B42575" w:rsidRPr="00455FE3" w:rsidRDefault="00B42575" w:rsidP="00CF0A4C">
            <w:pPr>
              <w:pStyle w:val="TableText"/>
              <w:rPr>
                <w:sz w:val="22"/>
                <w:szCs w:val="22"/>
              </w:rPr>
            </w:pPr>
            <w:r w:rsidRPr="00455FE3">
              <w:rPr>
                <w:sz w:val="22"/>
                <w:szCs w:val="22"/>
              </w:rPr>
              <w:t>Proportion of government-owned social rental housing stock matched to greatest demand</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3218BB5" w14:textId="77777777" w:rsidR="00B42575" w:rsidRPr="009547C0" w:rsidRDefault="00B42575" w:rsidP="00CF0A4C">
            <w:pPr>
              <w:pStyle w:val="TableTextRight"/>
            </w:pPr>
            <w:r w:rsidRPr="009547C0">
              <w:t>54%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8F99091" w14:textId="77777777" w:rsidR="00B42575" w:rsidRPr="009547C0" w:rsidRDefault="00B42575" w:rsidP="00CF0A4C">
            <w:pPr>
              <w:pStyle w:val="TableTextRight"/>
            </w:pPr>
            <w:r w:rsidRPr="009547C0">
              <w:t>54%</w:t>
            </w:r>
          </w:p>
        </w:tc>
      </w:tr>
      <w:tr w:rsidR="00B42575" w:rsidRPr="00A553E4" w14:paraId="0779C36D" w14:textId="77777777" w:rsidTr="00792F33">
        <w:tc>
          <w:tcPr>
            <w:tcW w:w="7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392BB11A" w14:textId="77777777" w:rsidR="00B42575" w:rsidRPr="00455FE3" w:rsidRDefault="00B42575" w:rsidP="00CF0A4C">
            <w:pPr>
              <w:pStyle w:val="TableTextItalics"/>
              <w:rPr>
                <w:b/>
                <w:sz w:val="22"/>
                <w:szCs w:val="22"/>
              </w:rPr>
            </w:pPr>
            <w:r w:rsidRPr="00455FE3">
              <w:rPr>
                <w:b/>
                <w:sz w:val="22"/>
                <w:szCs w:val="22"/>
              </w:rPr>
              <w:t>Efficiency measures</w:t>
            </w:r>
          </w:p>
        </w:tc>
        <w:tc>
          <w:tcPr>
            <w:tcW w:w="13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1EDE7113" w14:textId="77777777" w:rsidR="00B42575" w:rsidRPr="00A553E4" w:rsidRDefault="00B42575" w:rsidP="00CF0A4C">
            <w:pPr>
              <w:pStyle w:val="TableTextRight"/>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6A4B327" w14:textId="77777777" w:rsidR="00B42575" w:rsidRPr="00A553E4" w:rsidRDefault="00B42575" w:rsidP="00CF0A4C">
            <w:pPr>
              <w:pStyle w:val="TableTextRight"/>
            </w:pPr>
          </w:p>
        </w:tc>
      </w:tr>
      <w:tr w:rsidR="00B42575" w:rsidRPr="00246DD9" w14:paraId="3DCC0800" w14:textId="77777777" w:rsidTr="00792F33">
        <w:tc>
          <w:tcPr>
            <w:tcW w:w="7237" w:type="dxa"/>
            <w:tcBorders>
              <w:top w:val="single" w:sz="4" w:space="0" w:color="000000" w:themeColor="text1"/>
              <w:left w:val="single" w:sz="4" w:space="0" w:color="000000" w:themeColor="text1"/>
              <w:bottom w:val="nil"/>
              <w:right w:val="single" w:sz="4" w:space="0" w:color="000000" w:themeColor="text1"/>
            </w:tcBorders>
            <w:shd w:val="clear" w:color="auto" w:fill="auto"/>
            <w:vAlign w:val="bottom"/>
            <w:hideMark/>
          </w:tcPr>
          <w:p w14:paraId="654AE16C" w14:textId="2273DED9" w:rsidR="00B42575" w:rsidRPr="00455FE3" w:rsidRDefault="00B42575" w:rsidP="00CF0A4C">
            <w:pPr>
              <w:pStyle w:val="TableText"/>
              <w:rPr>
                <w:sz w:val="22"/>
                <w:szCs w:val="22"/>
              </w:rPr>
            </w:pPr>
            <w:r w:rsidRPr="00455FE3">
              <w:rPr>
                <w:sz w:val="22"/>
                <w:szCs w:val="22"/>
              </w:rPr>
              <w:t>Average tenancy and property management administration cost per households assisted</w:t>
            </w:r>
          </w:p>
        </w:tc>
        <w:tc>
          <w:tcPr>
            <w:tcW w:w="1386" w:type="dxa"/>
            <w:tcBorders>
              <w:top w:val="single" w:sz="4" w:space="0" w:color="000000" w:themeColor="text1"/>
              <w:left w:val="single" w:sz="4" w:space="0" w:color="000000" w:themeColor="text1"/>
              <w:bottom w:val="nil"/>
              <w:right w:val="single" w:sz="4" w:space="0" w:color="000000" w:themeColor="text1"/>
            </w:tcBorders>
            <w:shd w:val="clear" w:color="auto" w:fill="auto"/>
            <w:vAlign w:val="bottom"/>
          </w:tcPr>
          <w:p w14:paraId="732CF4D2" w14:textId="77777777" w:rsidR="00B42575" w:rsidRPr="009547C0" w:rsidRDefault="00B42575" w:rsidP="00CF0A4C">
            <w:pPr>
              <w:pStyle w:val="TableTextRight"/>
            </w:pPr>
            <w:r w:rsidRPr="009547C0">
              <w:t>$1,233</w:t>
            </w:r>
          </w:p>
        </w:tc>
        <w:tc>
          <w:tcPr>
            <w:tcW w:w="1260" w:type="dxa"/>
            <w:tcBorders>
              <w:top w:val="single" w:sz="4" w:space="0" w:color="000000" w:themeColor="text1"/>
              <w:left w:val="single" w:sz="4" w:space="0" w:color="000000" w:themeColor="text1"/>
              <w:bottom w:val="nil"/>
              <w:right w:val="single" w:sz="4" w:space="0" w:color="000000" w:themeColor="text1"/>
            </w:tcBorders>
            <w:shd w:val="clear" w:color="auto" w:fill="auto"/>
            <w:vAlign w:val="bottom"/>
          </w:tcPr>
          <w:p w14:paraId="1EB917A0" w14:textId="3F1AE549" w:rsidR="00B42575" w:rsidRPr="009547C0" w:rsidRDefault="00B42575" w:rsidP="00CF0A4C">
            <w:pPr>
              <w:pStyle w:val="TableTextRight"/>
            </w:pPr>
            <w:r>
              <w:t>$1,2</w:t>
            </w:r>
            <w:r w:rsidR="00E158E1">
              <w:t>02</w:t>
            </w:r>
          </w:p>
        </w:tc>
      </w:tr>
      <w:tr w:rsidR="00B42575" w:rsidRPr="00246DD9" w14:paraId="5318FE0C" w14:textId="77777777" w:rsidTr="00792F33">
        <w:tc>
          <w:tcPr>
            <w:tcW w:w="7237"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813B0A9" w14:textId="07ADAE85" w:rsidR="00B42575" w:rsidRPr="00455FE3" w:rsidRDefault="00B42575" w:rsidP="00CF0A4C">
            <w:pPr>
              <w:pStyle w:val="TableText"/>
              <w:rPr>
                <w:sz w:val="22"/>
                <w:szCs w:val="22"/>
              </w:rPr>
            </w:pPr>
            <w:r w:rsidRPr="00455FE3">
              <w:rPr>
                <w:sz w:val="22"/>
                <w:szCs w:val="22"/>
              </w:rPr>
              <w:t xml:space="preserve">Variances between the </w:t>
            </w:r>
            <w:r w:rsidR="000C39C3" w:rsidRPr="00455FE3">
              <w:rPr>
                <w:sz w:val="22"/>
                <w:szCs w:val="22"/>
              </w:rPr>
              <w:t>2016–17</w:t>
            </w:r>
            <w:r w:rsidRPr="00455FE3">
              <w:rPr>
                <w:sz w:val="22"/>
                <w:szCs w:val="22"/>
              </w:rPr>
              <w:t xml:space="preserve"> target/estimate and </w:t>
            </w:r>
            <w:r w:rsidR="000C39C3" w:rsidRPr="00455FE3">
              <w:rPr>
                <w:sz w:val="22"/>
                <w:szCs w:val="22"/>
              </w:rPr>
              <w:t>2016–17</w:t>
            </w:r>
            <w:r w:rsidRPr="00455FE3">
              <w:rPr>
                <w:sz w:val="22"/>
                <w:szCs w:val="22"/>
              </w:rPr>
              <w:t xml:space="preserve"> actual are primarily due to households assisted remaining relatively stable with lower than anticipated rates of exits.</w:t>
            </w:r>
          </w:p>
        </w:tc>
        <w:tc>
          <w:tcPr>
            <w:tcW w:w="1386"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46968F79" w14:textId="77777777" w:rsidR="00B42575" w:rsidRPr="009547C0" w:rsidRDefault="00B42575" w:rsidP="00CF0A4C">
            <w:pPr>
              <w:pStyle w:val="TableTextRight"/>
            </w:pPr>
          </w:p>
        </w:tc>
        <w:tc>
          <w:tcPr>
            <w:tcW w:w="1260"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90AEC53" w14:textId="77777777" w:rsidR="00B42575" w:rsidRPr="009547C0" w:rsidRDefault="00B42575" w:rsidP="00CF0A4C">
            <w:pPr>
              <w:pStyle w:val="TableTextRight"/>
            </w:pPr>
          </w:p>
        </w:tc>
      </w:tr>
    </w:tbl>
    <w:p w14:paraId="51823632" w14:textId="77777777" w:rsidR="00105639" w:rsidRDefault="00105639" w:rsidP="00096C6C">
      <w:pPr>
        <w:pStyle w:val="Bullets"/>
        <w:numPr>
          <w:ilvl w:val="0"/>
          <w:numId w:val="0"/>
        </w:numPr>
        <w:ind w:left="360"/>
      </w:pPr>
    </w:p>
    <w:p w14:paraId="48A152B8" w14:textId="6E3E4E2D" w:rsidR="008129DD" w:rsidRPr="009052FB" w:rsidRDefault="008129DD" w:rsidP="00DC4782">
      <w:pPr>
        <w:pStyle w:val="Bullets"/>
        <w:numPr>
          <w:ilvl w:val="0"/>
          <w:numId w:val="0"/>
        </w:numPr>
        <w:ind w:left="350" w:hanging="350"/>
      </w:pPr>
      <w:r>
        <w:br w:type="page"/>
      </w:r>
    </w:p>
    <w:p w14:paraId="7961CB3B" w14:textId="0C291D79" w:rsidR="005C5EE3" w:rsidRDefault="005C5EE3" w:rsidP="0004270E">
      <w:pPr>
        <w:pStyle w:val="Heading2"/>
      </w:pPr>
      <w:bookmarkStart w:id="29" w:name="_Toc494984626"/>
      <w:r w:rsidRPr="000B4CD3">
        <w:lastRenderedPageBreak/>
        <w:t>Government Accommodation and Building Policy Services</w:t>
      </w:r>
      <w:bookmarkEnd w:id="29"/>
    </w:p>
    <w:p w14:paraId="4164F557" w14:textId="1B855958" w:rsidR="005A6941" w:rsidRPr="007B54AB" w:rsidRDefault="005A6941" w:rsidP="00792F33">
      <w:pPr>
        <w:pStyle w:val="Heading3"/>
      </w:pPr>
      <w:r w:rsidRPr="00CB45B4">
        <w:t>Our Objective</w:t>
      </w:r>
    </w:p>
    <w:p w14:paraId="2386757B" w14:textId="54CCF376" w:rsidR="005C5EE3" w:rsidRPr="00DA6B9A" w:rsidRDefault="005C5EE3" w:rsidP="00CF0A4C">
      <w:r w:rsidRPr="00DA6B9A">
        <w:t xml:space="preserve">To deliver the best possible accommodation solutions for government in terms of office space and employee housing to ensure agencies can deliver essential government services to the community; to engage and strengthen relationships with the building </w:t>
      </w:r>
      <w:r w:rsidR="0015311D">
        <w:t xml:space="preserve">and </w:t>
      </w:r>
      <w:r w:rsidRPr="00DA6B9A">
        <w:t>construction industry and provide effective and efficient Queensland building and plumbing policy and legislation.</w:t>
      </w:r>
    </w:p>
    <w:p w14:paraId="7855BC42" w14:textId="24243C6A" w:rsidR="005C5EE3" w:rsidRPr="007B54AB" w:rsidRDefault="005C5EE3" w:rsidP="00792F33">
      <w:pPr>
        <w:pStyle w:val="Heading3"/>
      </w:pPr>
      <w:r w:rsidRPr="00CB45B4">
        <w:t xml:space="preserve">What </w:t>
      </w:r>
      <w:r w:rsidR="00D94D21">
        <w:t>W</w:t>
      </w:r>
      <w:r w:rsidRPr="00CB45B4">
        <w:t xml:space="preserve">e </w:t>
      </w:r>
      <w:r w:rsidR="00D94D21">
        <w:t>D</w:t>
      </w:r>
      <w:r w:rsidRPr="00CB45B4">
        <w:t>o</w:t>
      </w:r>
    </w:p>
    <w:p w14:paraId="0C24223F" w14:textId="6884B7E6" w:rsidR="00913792" w:rsidRDefault="005C5EE3" w:rsidP="00CF0A4C">
      <w:r w:rsidRPr="00DA6B9A">
        <w:t>Government Accommodation and Building Policy Services deliver the Queensland Government’s office accommodation and employee housing portfolio and manage significant building and property initiatives. Services include developing and advising on building and plumbing legislation, codes, building policy, research, standards, design and building industry engagement in Queensland. Services also include strategic asset management of an owned accommodation portfolio of approximately 200 buildings, ranging from large office blocks, particularly in regional centres, to non-office properties, such as heritage buildings, theatres, convention centres, cultural facilities, industrial properties and bridges. Government Accommodation and Building Policy Services provides planning, strategy and policy development, leasing and tenancy management, and maintenance management across owned and leased portfolios.</w:t>
      </w:r>
    </w:p>
    <w:p w14:paraId="6D6592EC" w14:textId="13A5E69E" w:rsidR="00913792" w:rsidRDefault="00913792">
      <w:pPr>
        <w:spacing w:line="259" w:lineRule="auto"/>
      </w:pPr>
      <w:r>
        <w:t>IMAGE: TWO WORKERS ON BUILDING SITE</w:t>
      </w:r>
    </w:p>
    <w:p w14:paraId="0C51C1B2" w14:textId="77777777" w:rsidR="00DC4782" w:rsidRDefault="00913792">
      <w:pPr>
        <w:spacing w:line="259" w:lineRule="auto"/>
      </w:pPr>
      <w:r>
        <w:t>IMAGE: WORKER ON BUILDING SITE CARRYING BUILDING MATERIALS</w:t>
      </w:r>
    </w:p>
    <w:p w14:paraId="0B68A2C6" w14:textId="77777777" w:rsidR="00DC4782" w:rsidRPr="00913792" w:rsidRDefault="00DC4782" w:rsidP="00DC4782">
      <w:pPr>
        <w:rPr>
          <w:b/>
          <w:color w:val="000000" w:themeColor="text1"/>
        </w:rPr>
      </w:pPr>
      <w:r w:rsidRPr="00913792">
        <w:rPr>
          <w:b/>
          <w:color w:val="000000" w:themeColor="text1"/>
        </w:rPr>
        <w:t>Consulting on Building Reforms</w:t>
      </w:r>
    </w:p>
    <w:p w14:paraId="48392A45" w14:textId="77777777" w:rsidR="00DC4782" w:rsidRPr="00913792" w:rsidRDefault="00DC4782" w:rsidP="00DC4782">
      <w:pPr>
        <w:rPr>
          <w:color w:val="000000" w:themeColor="text1"/>
        </w:rPr>
      </w:pPr>
      <w:r w:rsidRPr="00913792">
        <w:rPr>
          <w:color w:val="000000" w:themeColor="text1"/>
        </w:rPr>
        <w:t>Everyday more than 220,000 Queenslanders earn a living in the building and construction industry across the state. They make an enormous impact on the communities in which we live.</w:t>
      </w:r>
    </w:p>
    <w:p w14:paraId="54177693" w14:textId="77777777" w:rsidR="00DC4782" w:rsidRPr="00096C6C" w:rsidRDefault="00DC4782" w:rsidP="00DC4782">
      <w:pPr>
        <w:rPr>
          <w:color w:val="000000" w:themeColor="text1"/>
        </w:rPr>
      </w:pPr>
      <w:r w:rsidRPr="00913792">
        <w:rPr>
          <w:color w:val="000000" w:themeColor="text1"/>
        </w:rPr>
        <w:t xml:space="preserve">This is why our department reached out to Queenslanders in extensive state-wide consultation sessions through the </w:t>
      </w:r>
      <w:r w:rsidRPr="00096C6C">
        <w:rPr>
          <w:i/>
          <w:color w:val="000000" w:themeColor="text1"/>
        </w:rPr>
        <w:t>Queensland Building Plan – A discussion paper</w:t>
      </w:r>
      <w:r w:rsidRPr="00096C6C">
        <w:rPr>
          <w:color w:val="000000" w:themeColor="text1"/>
        </w:rPr>
        <w:t xml:space="preserve"> for industry and consumers which addressed ten proposed areas of reform ranging from Non-Conforming Building Products (NCBPs) and Security of Payment to Inclusive Communities and Liveable Housing Design.</w:t>
      </w:r>
    </w:p>
    <w:p w14:paraId="232CD99E" w14:textId="77777777" w:rsidR="00DC4782" w:rsidRPr="00D675BC" w:rsidRDefault="00DC4782" w:rsidP="00DC4782">
      <w:pPr>
        <w:rPr>
          <w:color w:val="000000" w:themeColor="text1"/>
        </w:rPr>
      </w:pPr>
      <w:r w:rsidRPr="00096C6C">
        <w:rPr>
          <w:color w:val="000000" w:themeColor="text1"/>
        </w:rPr>
        <w:t>Sessions were held in 15 key locations including Cairns, Bundaberg and Toowoomba providing the opportunity for 1,100 stakeholders to ha</w:t>
      </w:r>
      <w:r w:rsidRPr="00D675BC">
        <w:rPr>
          <w:color w:val="000000" w:themeColor="text1"/>
        </w:rPr>
        <w:t xml:space="preserve">ve their say about the development of a Queensland Building Plan and set the long-term strategic direction of the building and construction industry. </w:t>
      </w:r>
    </w:p>
    <w:p w14:paraId="0AA551AD" w14:textId="77777777" w:rsidR="00DC4782" w:rsidRPr="00913792" w:rsidRDefault="00DC4782" w:rsidP="00DC4782">
      <w:pPr>
        <w:rPr>
          <w:color w:val="000000" w:themeColor="text1"/>
        </w:rPr>
      </w:pPr>
      <w:r w:rsidRPr="00D675BC">
        <w:rPr>
          <w:color w:val="000000" w:themeColor="text1"/>
        </w:rPr>
        <w:t>Additional consultations included: 19 deep dive sessions, 13 trade breakfasts at Bunnings stores, 13 trade breakfasts at Reece stores and a stall for four days at the Courier</w:t>
      </w:r>
      <w:r w:rsidRPr="00913792">
        <w:rPr>
          <w:color w:val="000000" w:themeColor="text1"/>
        </w:rPr>
        <w:t>-Mail Home Show in Brisbane. We also received over 800 written submissions and over 1,700 responses to the online surveys.</w:t>
      </w:r>
    </w:p>
    <w:p w14:paraId="033B1412" w14:textId="77777777" w:rsidR="00DC4782" w:rsidRPr="00913792" w:rsidRDefault="00DC4782" w:rsidP="00DC4782">
      <w:pPr>
        <w:rPr>
          <w:color w:val="000000" w:themeColor="text1"/>
        </w:rPr>
      </w:pPr>
      <w:r w:rsidRPr="00913792">
        <w:rPr>
          <w:color w:val="000000" w:themeColor="text1"/>
        </w:rPr>
        <w:t>The outcome of these consultations will be the Queensland Building Plan which will guide changes to policy and legislation to create a safer, fairer and more sustainable industry. It will also enhance consumer confidence in the industry and drive innovative, liveable and sustainable design.</w:t>
      </w:r>
    </w:p>
    <w:p w14:paraId="0C7DAF30" w14:textId="77777777" w:rsidR="00DC4782" w:rsidRPr="00913792" w:rsidRDefault="00DC4782" w:rsidP="00DC4782">
      <w:pPr>
        <w:rPr>
          <w:color w:val="000000" w:themeColor="text1"/>
        </w:rPr>
      </w:pPr>
      <w:r w:rsidRPr="00913792">
        <w:rPr>
          <w:color w:val="000000" w:themeColor="text1"/>
        </w:rPr>
        <w:t>Processes will be simplified and unnecessary red tape reduced to improve efficiency and save both time and money while compliance frameworks and improved regulatory powers will result in having the right person and materials for the job at hand.</w:t>
      </w:r>
    </w:p>
    <w:p w14:paraId="4CB68434" w14:textId="77777777" w:rsidR="00DC4782" w:rsidRPr="00913792" w:rsidRDefault="00DC4782" w:rsidP="00DC4782">
      <w:pPr>
        <w:rPr>
          <w:color w:val="000000" w:themeColor="text1"/>
        </w:rPr>
      </w:pPr>
      <w:r w:rsidRPr="00913792">
        <w:rPr>
          <w:color w:val="000000" w:themeColor="text1"/>
        </w:rPr>
        <w:t xml:space="preserve">Changes to laws for NCBPs will mean that all players in the building supply chain will have to take responsibility for ensuring building products are safe and fit for intended purpose. </w:t>
      </w:r>
    </w:p>
    <w:p w14:paraId="10FA9F78" w14:textId="77777777" w:rsidR="00DC4782" w:rsidRPr="00913792" w:rsidRDefault="00DC4782" w:rsidP="00DC4782">
      <w:pPr>
        <w:rPr>
          <w:color w:val="000000" w:themeColor="text1"/>
        </w:rPr>
      </w:pPr>
      <w:r w:rsidRPr="00913792">
        <w:rPr>
          <w:color w:val="000000" w:themeColor="text1"/>
        </w:rPr>
        <w:lastRenderedPageBreak/>
        <w:t xml:space="preserve">New laws for Security of Payment will ensure that subcontractors are paid in full and on time for the work they do. </w:t>
      </w:r>
    </w:p>
    <w:p w14:paraId="79C467F3" w14:textId="77777777" w:rsidR="00DC4782" w:rsidRPr="00913792" w:rsidRDefault="00DC4782" w:rsidP="00DC4782">
      <w:pPr>
        <w:rPr>
          <w:color w:val="000000" w:themeColor="text1"/>
        </w:rPr>
      </w:pPr>
      <w:r w:rsidRPr="00913792">
        <w:rPr>
          <w:color w:val="000000" w:themeColor="text1"/>
        </w:rPr>
        <w:t>While consultation played a key role in determining priorities, it also highlighted issues within the building and construction industry that require further, targeted collaboration with stakeholders.</w:t>
      </w:r>
    </w:p>
    <w:p w14:paraId="7ED4DFAB" w14:textId="77777777" w:rsidR="00DC4782" w:rsidRPr="00913792" w:rsidRDefault="00DC4782" w:rsidP="00DC4782">
      <w:pPr>
        <w:rPr>
          <w:color w:val="000000" w:themeColor="text1"/>
        </w:rPr>
      </w:pPr>
      <w:r w:rsidRPr="00913792">
        <w:rPr>
          <w:color w:val="000000" w:themeColor="text1"/>
        </w:rPr>
        <w:t xml:space="preserve">The Building Industry and Policy team continues to work with industry, peak bodies and consumers, so that Queenslanders get the safe, secure and productive building and construction industry they deserve. </w:t>
      </w:r>
    </w:p>
    <w:p w14:paraId="468FE75E" w14:textId="54B70543" w:rsidR="00913792" w:rsidRDefault="00913792">
      <w:pPr>
        <w:spacing w:line="259" w:lineRule="auto"/>
      </w:pPr>
      <w:r>
        <w:br w:type="page"/>
      </w:r>
    </w:p>
    <w:p w14:paraId="668F3985" w14:textId="49B8334E" w:rsidR="005C5EE3" w:rsidRDefault="005C5EE3" w:rsidP="00792F33">
      <w:pPr>
        <w:pStyle w:val="Heading3"/>
      </w:pPr>
      <w:r>
        <w:lastRenderedPageBreak/>
        <w:t>Our A</w:t>
      </w:r>
      <w:r w:rsidRPr="004F3CFF">
        <w:t>chievements</w:t>
      </w:r>
    </w:p>
    <w:p w14:paraId="308A8379" w14:textId="6D2B21FA" w:rsidR="00EC0937" w:rsidRPr="002775FC" w:rsidRDefault="00EC0937" w:rsidP="00CF0A4C">
      <w:pPr>
        <w:pStyle w:val="HeadingStyle3"/>
      </w:pPr>
      <w:r>
        <w:t>Delivering Building Industry Policy</w:t>
      </w:r>
    </w:p>
    <w:p w14:paraId="65029C3C" w14:textId="77777777" w:rsidR="00CE7FB4" w:rsidRDefault="00CE7FB4" w:rsidP="00CF0A4C">
      <w:pPr>
        <w:sectPr w:rsidR="00CE7FB4" w:rsidSect="00895349">
          <w:type w:val="continuous"/>
          <w:pgSz w:w="11906" w:h="16838"/>
          <w:pgMar w:top="1440" w:right="1021" w:bottom="1440" w:left="1021" w:header="709" w:footer="709" w:gutter="0"/>
          <w:cols w:space="708"/>
          <w:docGrid w:linePitch="360"/>
        </w:sectPr>
      </w:pPr>
    </w:p>
    <w:p w14:paraId="73004174" w14:textId="696005D4" w:rsidR="00B442C4" w:rsidRPr="00B442C4" w:rsidRDefault="00EC4416" w:rsidP="00913792">
      <w:pPr>
        <w:rPr>
          <w:lang w:val="en-US"/>
        </w:rPr>
      </w:pPr>
      <w:r>
        <w:rPr>
          <w:lang w:val="en-US"/>
        </w:rPr>
        <w:t xml:space="preserve">In </w:t>
      </w:r>
      <w:r w:rsidR="000C39C3">
        <w:rPr>
          <w:lang w:val="en-US"/>
        </w:rPr>
        <w:t>2016–17</w:t>
      </w:r>
      <w:r>
        <w:rPr>
          <w:lang w:val="en-US"/>
        </w:rPr>
        <w:t>, we</w:t>
      </w:r>
      <w:r w:rsidR="00B442C4">
        <w:rPr>
          <w:lang w:val="en-US"/>
        </w:rPr>
        <w:t>:</w:t>
      </w:r>
    </w:p>
    <w:p w14:paraId="4DDC6B27" w14:textId="69ECDEFB" w:rsidR="00323CA0" w:rsidRPr="00913792" w:rsidRDefault="00323CA0" w:rsidP="00DC4782">
      <w:pPr>
        <w:pStyle w:val="Bullets"/>
        <w:numPr>
          <w:ilvl w:val="0"/>
          <w:numId w:val="6"/>
        </w:numPr>
        <w:rPr>
          <w:lang w:val="en-US"/>
        </w:rPr>
      </w:pPr>
      <w:r>
        <w:t xml:space="preserve">launched the </w:t>
      </w:r>
      <w:r w:rsidRPr="00A802E1">
        <w:t>Queensland Building Plan – A discussion paper for industry and consumers</w:t>
      </w:r>
      <w:r>
        <w:t xml:space="preserve"> addressing ten proposed areas of reform</w:t>
      </w:r>
    </w:p>
    <w:p w14:paraId="401DCA4F" w14:textId="766FAFE2" w:rsidR="004E047C" w:rsidRPr="00B20E07" w:rsidRDefault="004E047C" w:rsidP="00DC4782">
      <w:pPr>
        <w:pStyle w:val="Bullets"/>
        <w:numPr>
          <w:ilvl w:val="0"/>
          <w:numId w:val="6"/>
        </w:numPr>
        <w:rPr>
          <w:lang w:val="en-US"/>
        </w:rPr>
      </w:pPr>
      <w:r>
        <w:t>progressed</w:t>
      </w:r>
      <w:r w:rsidRPr="00EB221B">
        <w:rPr>
          <w:lang w:val="en-US"/>
        </w:rPr>
        <w:t xml:space="preserve"> the</w:t>
      </w:r>
      <w:r w:rsidRPr="005407CF">
        <w:rPr>
          <w:lang w:val="en-US"/>
        </w:rPr>
        <w:t xml:space="preserve"> </w:t>
      </w:r>
      <w:r w:rsidRPr="00A802E1">
        <w:rPr>
          <w:lang w:val="en-US"/>
        </w:rPr>
        <w:t>Building and Construction Legislation (Non-conforming Building Products—Chain of Responsibility and Other Matters) Amendment Bill 2017</w:t>
      </w:r>
      <w:r w:rsidRPr="005407CF">
        <w:rPr>
          <w:lang w:val="en-US"/>
        </w:rPr>
        <w:t>. The Bill</w:t>
      </w:r>
      <w:r w:rsidR="003E53D8">
        <w:rPr>
          <w:lang w:val="en-US"/>
        </w:rPr>
        <w:t>,</w:t>
      </w:r>
      <w:r w:rsidRPr="005407CF">
        <w:rPr>
          <w:lang w:val="en-US"/>
        </w:rPr>
        <w:t xml:space="preserve"> </w:t>
      </w:r>
      <w:r w:rsidR="00E14378">
        <w:rPr>
          <w:lang w:val="en-US"/>
        </w:rPr>
        <w:t>which included</w:t>
      </w:r>
      <w:r w:rsidRPr="005407CF">
        <w:rPr>
          <w:lang w:val="en-US"/>
        </w:rPr>
        <w:t xml:space="preserve"> </w:t>
      </w:r>
      <w:r>
        <w:rPr>
          <w:lang w:val="en-US"/>
        </w:rPr>
        <w:t>enhance</w:t>
      </w:r>
      <w:r w:rsidR="003F6067">
        <w:rPr>
          <w:lang w:val="en-US"/>
        </w:rPr>
        <w:t>d</w:t>
      </w:r>
      <w:r w:rsidRPr="005407CF">
        <w:rPr>
          <w:lang w:val="en-US"/>
        </w:rPr>
        <w:t xml:space="preserve"> provisions for improving safety on building and construction sites</w:t>
      </w:r>
      <w:r w:rsidR="003E53D8">
        <w:rPr>
          <w:lang w:val="en-US"/>
        </w:rPr>
        <w:t>,</w:t>
      </w:r>
      <w:r w:rsidRPr="005407CF">
        <w:rPr>
          <w:lang w:val="en-US"/>
        </w:rPr>
        <w:t xml:space="preserve"> was introduced to </w:t>
      </w:r>
      <w:r w:rsidR="007F6366">
        <w:rPr>
          <w:lang w:val="en-US"/>
        </w:rPr>
        <w:t>P</w:t>
      </w:r>
      <w:r w:rsidRPr="005407CF">
        <w:rPr>
          <w:lang w:val="en-US"/>
        </w:rPr>
        <w:t xml:space="preserve">arliament </w:t>
      </w:r>
      <w:r w:rsidR="00C37EDB">
        <w:rPr>
          <w:lang w:val="en-US"/>
        </w:rPr>
        <w:t>in</w:t>
      </w:r>
      <w:r w:rsidRPr="005407CF">
        <w:rPr>
          <w:lang w:val="en-US"/>
        </w:rPr>
        <w:t xml:space="preserve"> Ma</w:t>
      </w:r>
      <w:r w:rsidR="00DF6FE3">
        <w:rPr>
          <w:lang w:val="en-US"/>
        </w:rPr>
        <w:t>y 2017</w:t>
      </w:r>
    </w:p>
    <w:p w14:paraId="5F4F81BE" w14:textId="776E1BF4" w:rsidR="00894D6F" w:rsidRPr="0098574E" w:rsidRDefault="00894D6F" w:rsidP="00DC4782">
      <w:pPr>
        <w:pStyle w:val="Bullets"/>
        <w:numPr>
          <w:ilvl w:val="0"/>
          <w:numId w:val="6"/>
        </w:numPr>
      </w:pPr>
      <w:r w:rsidRPr="0098574E">
        <w:t xml:space="preserve">worked closely with </w:t>
      </w:r>
      <w:r w:rsidR="00497901">
        <w:t xml:space="preserve">the </w:t>
      </w:r>
      <w:r w:rsidRPr="0098574E">
        <w:t xml:space="preserve">Queensland Fire and Emergency Services to legislate changes to building legislation through the </w:t>
      </w:r>
      <w:r w:rsidRPr="254438D3">
        <w:rPr>
          <w:i/>
          <w:iCs/>
        </w:rPr>
        <w:t>Building Fire Safety (Domestic Smoke Alarms) Legislation Amendment Regulation 2016</w:t>
      </w:r>
      <w:r w:rsidR="00497901">
        <w:rPr>
          <w:i/>
          <w:iCs/>
        </w:rPr>
        <w:t>,</w:t>
      </w:r>
      <w:r w:rsidRPr="0098574E">
        <w:t xml:space="preserve"> </w:t>
      </w:r>
      <w:r w:rsidR="006C0979">
        <w:t>which</w:t>
      </w:r>
      <w:r w:rsidR="006C0979" w:rsidRPr="0098574E">
        <w:t xml:space="preserve"> </w:t>
      </w:r>
      <w:r w:rsidRPr="0098574E">
        <w:t xml:space="preserve">introduced the requirement for photoelectric interconnected smoke alarms in response to coronial recommendations leading from the tragic fire in </w:t>
      </w:r>
      <w:r w:rsidR="00F742F3">
        <w:t>2011 at S</w:t>
      </w:r>
      <w:r w:rsidRPr="0098574E">
        <w:t xml:space="preserve">lacks </w:t>
      </w:r>
      <w:r w:rsidR="00F742F3">
        <w:t>C</w:t>
      </w:r>
      <w:r w:rsidRPr="0098574E">
        <w:t xml:space="preserve">reek </w:t>
      </w:r>
    </w:p>
    <w:p w14:paraId="08314479" w14:textId="658A9F9E" w:rsidR="00894D6F" w:rsidRPr="00173DA4" w:rsidRDefault="00894D6F" w:rsidP="00DC4782">
      <w:pPr>
        <w:pStyle w:val="Bullets"/>
        <w:numPr>
          <w:ilvl w:val="0"/>
          <w:numId w:val="6"/>
        </w:numPr>
      </w:pPr>
      <w:r w:rsidRPr="00173DA4">
        <w:t>supported local economies and regional communities through the wild dog fencing regulation</w:t>
      </w:r>
    </w:p>
    <w:p w14:paraId="651C7F64" w14:textId="35BB6B3C" w:rsidR="00894D6F" w:rsidRPr="00173DA4" w:rsidRDefault="00894D6F" w:rsidP="00DC4782">
      <w:pPr>
        <w:pStyle w:val="Bullets"/>
        <w:numPr>
          <w:ilvl w:val="0"/>
          <w:numId w:val="6"/>
        </w:numPr>
      </w:pPr>
      <w:r w:rsidRPr="00173DA4">
        <w:t xml:space="preserve">maintained strong relationships with stakeholders and industry by representing </w:t>
      </w:r>
      <w:r w:rsidR="0001328C">
        <w:t xml:space="preserve">with departmental representation </w:t>
      </w:r>
      <w:r w:rsidRPr="00173DA4">
        <w:t>on the Service Trades Council and the QBCC’s Fire Protection Working Group</w:t>
      </w:r>
    </w:p>
    <w:p w14:paraId="11500A54" w14:textId="1B2AD7F3" w:rsidR="00894D6F" w:rsidRPr="00173DA4" w:rsidRDefault="00894D6F" w:rsidP="00DC4782">
      <w:pPr>
        <w:pStyle w:val="Bullets"/>
        <w:numPr>
          <w:ilvl w:val="0"/>
          <w:numId w:val="6"/>
        </w:numPr>
      </w:pPr>
      <w:r w:rsidRPr="00173DA4">
        <w:t>implemented reforms to expand the Queensland Home Warranty Insurance Scheme</w:t>
      </w:r>
    </w:p>
    <w:p w14:paraId="15939F2E" w14:textId="243A1AF6" w:rsidR="00AD786A" w:rsidRDefault="00894D6F" w:rsidP="00DC4782">
      <w:pPr>
        <w:pStyle w:val="Bullets"/>
        <w:numPr>
          <w:ilvl w:val="0"/>
          <w:numId w:val="6"/>
        </w:numPr>
      </w:pPr>
      <w:r w:rsidRPr="00173DA4">
        <w:t>progressed proposals to improve security of payment for subcontractors in the building and construction industry</w:t>
      </w:r>
    </w:p>
    <w:p w14:paraId="7D1B6FDF" w14:textId="64290DC8" w:rsidR="00894D6F" w:rsidRPr="00173DA4" w:rsidRDefault="00894D6F" w:rsidP="00DC4782">
      <w:pPr>
        <w:pStyle w:val="Bullets"/>
        <w:numPr>
          <w:ilvl w:val="0"/>
          <w:numId w:val="6"/>
        </w:numPr>
      </w:pPr>
      <w:r w:rsidRPr="00173DA4">
        <w:t xml:space="preserve">commenced work </w:t>
      </w:r>
      <w:r w:rsidR="006E5181">
        <w:t>to</w:t>
      </w:r>
      <w:r w:rsidRPr="00173DA4">
        <w:t xml:space="preserve"> implement Project Bank Accounts on </w:t>
      </w:r>
      <w:r w:rsidR="005C3A6D">
        <w:t>g</w:t>
      </w:r>
      <w:r w:rsidRPr="00173DA4">
        <w:t>overnment building and construction projects from 1 January 2018</w:t>
      </w:r>
    </w:p>
    <w:p w14:paraId="27F0B030" w14:textId="23D33308" w:rsidR="00323CA0" w:rsidRDefault="00323CA0" w:rsidP="00DC4782">
      <w:pPr>
        <w:pStyle w:val="Bullets"/>
        <w:numPr>
          <w:ilvl w:val="0"/>
          <w:numId w:val="6"/>
        </w:numPr>
      </w:pPr>
      <w:r>
        <w:t>continued to work with the Sustainable Built Environment National Research Centre which is a leader in fostering collaboration between industry; government and research organisations to improve Australia’s built environment industry</w:t>
      </w:r>
    </w:p>
    <w:p w14:paraId="0DD6E557" w14:textId="17CC2C24" w:rsidR="00F36A9A" w:rsidRPr="006968F8" w:rsidRDefault="00BE61B3" w:rsidP="00DC4782">
      <w:pPr>
        <w:numPr>
          <w:ilvl w:val="0"/>
          <w:numId w:val="6"/>
        </w:numPr>
        <w:spacing w:after="0"/>
      </w:pPr>
      <w:bookmarkStart w:id="30" w:name="_Hlk494269193"/>
      <w:r w:rsidRPr="00792F33">
        <w:rPr>
          <w:rFonts w:eastAsia="Times New Roman"/>
        </w:rPr>
        <w:t xml:space="preserve">as a founding partner, </w:t>
      </w:r>
      <w:r w:rsidR="007A229B" w:rsidRPr="00792F33">
        <w:rPr>
          <w:rFonts w:eastAsia="Times New Roman"/>
        </w:rPr>
        <w:t>the department</w:t>
      </w:r>
      <w:r w:rsidRPr="00792F33">
        <w:rPr>
          <w:rFonts w:eastAsia="Times New Roman"/>
        </w:rPr>
        <w:t xml:space="preserve">, in conjunction with the National Trust of Australia (Qld), sponsored the Brisbane </w:t>
      </w:r>
      <w:r w:rsidRPr="00792F33">
        <w:rPr>
          <w:rFonts w:eastAsia="Times New Roman"/>
        </w:rPr>
        <w:t xml:space="preserve">Open House event in October 2016 where a record number of 68,000 people visited 100 buildings over the two days. </w:t>
      </w:r>
      <w:r w:rsidR="00F36A9A">
        <w:t xml:space="preserve">This </w:t>
      </w:r>
      <w:r w:rsidR="00F36A9A" w:rsidRPr="007A229B">
        <w:rPr>
          <w:lang w:val="en"/>
        </w:rPr>
        <w:t>is a free public festival that celebrates Brisbane’s architecture and offers behind-the-scenes acce</w:t>
      </w:r>
      <w:r w:rsidR="00026D79" w:rsidRPr="007A229B">
        <w:rPr>
          <w:lang w:val="en"/>
        </w:rPr>
        <w:t>ss to buildings across the city</w:t>
      </w:r>
      <w:r w:rsidR="00323CA0" w:rsidRPr="007A229B">
        <w:rPr>
          <w:lang w:val="en"/>
        </w:rPr>
        <w:t>.</w:t>
      </w:r>
    </w:p>
    <w:bookmarkEnd w:id="30"/>
    <w:p w14:paraId="160F3F54" w14:textId="7A6274B5" w:rsidR="0000782C" w:rsidRPr="00B370D1" w:rsidRDefault="00EF02EE" w:rsidP="00DC4782">
      <w:pPr>
        <w:pStyle w:val="Bullets"/>
        <w:numPr>
          <w:ilvl w:val="0"/>
          <w:numId w:val="6"/>
        </w:numPr>
      </w:pPr>
      <w:r>
        <w:t>organisations to improve Australia’s built environment industry</w:t>
      </w:r>
      <w:r w:rsidR="005A6F02">
        <w:t>.</w:t>
      </w:r>
    </w:p>
    <w:p w14:paraId="21713FFF" w14:textId="77777777" w:rsidR="00DC4782" w:rsidRPr="00F53584" w:rsidRDefault="00DC4782" w:rsidP="00DC4782">
      <w:pPr>
        <w:pStyle w:val="ARHeading4"/>
      </w:pPr>
      <w:r w:rsidRPr="00F53584">
        <w:t>New flexible ways of working</w:t>
      </w:r>
    </w:p>
    <w:p w14:paraId="10B0DF79" w14:textId="77777777" w:rsidR="00DC4782" w:rsidRPr="00F53584" w:rsidRDefault="00DC4782" w:rsidP="00DC4782">
      <w:r w:rsidRPr="00F53584">
        <w:t xml:space="preserve">The ability to work anywhere, at any time is important to ensure our business continuity, including in times of natural disaster. Finding new ways of working is also key to supporting our workforce to embrace flexible working arrangements. </w:t>
      </w:r>
    </w:p>
    <w:p w14:paraId="6C79E385" w14:textId="77777777" w:rsidR="00DC4782" w:rsidRPr="00F53584" w:rsidRDefault="00DC4782" w:rsidP="00DC4782">
      <w:r w:rsidRPr="00F53584">
        <w:t xml:space="preserve">When we start working anywhere, </w:t>
      </w:r>
      <w:r>
        <w:t xml:space="preserve">or at </w:t>
      </w:r>
      <w:r w:rsidRPr="00F53584">
        <w:t>any time</w:t>
      </w:r>
      <w:r>
        <w:t>,</w:t>
      </w:r>
      <w:r w:rsidRPr="00F53584">
        <w:t xml:space="preserve"> we need to rethink what and how we are using our office space. We are doing just that, </w:t>
      </w:r>
      <w:r>
        <w:t>with the department</w:t>
      </w:r>
      <w:r w:rsidRPr="00F53584">
        <w:t xml:space="preserve"> currently running two pilots</w:t>
      </w:r>
      <w:r>
        <w:t>:</w:t>
      </w:r>
      <w:r w:rsidRPr="00F53584">
        <w:t xml:space="preserve"> the </w:t>
      </w:r>
      <w:r>
        <w:t>a</w:t>
      </w:r>
      <w:r w:rsidRPr="00F53584">
        <w:t xml:space="preserve">gile </w:t>
      </w:r>
      <w:r>
        <w:t>w</w:t>
      </w:r>
      <w:r w:rsidRPr="00F53584">
        <w:t>orking pilot in the Brisbane CBD where people share desks and collaborative spaces</w:t>
      </w:r>
      <w:r>
        <w:t>,</w:t>
      </w:r>
      <w:r w:rsidRPr="00F53584">
        <w:t xml:space="preserve"> and the Distributed Work</w:t>
      </w:r>
      <w:r>
        <w:t xml:space="preserve"> Centre</w:t>
      </w:r>
      <w:r w:rsidRPr="00F53584">
        <w:t xml:space="preserve"> </w:t>
      </w:r>
      <w:r w:rsidRPr="00C01FF0">
        <w:t>pilot in Ipswich, Robina and Maroochydore</w:t>
      </w:r>
      <w:r w:rsidRPr="00F53584">
        <w:t xml:space="preserve"> where people book workspaces, when needed, working closer to their home base.</w:t>
      </w:r>
    </w:p>
    <w:p w14:paraId="1B1A58DC" w14:textId="77777777" w:rsidR="00DC4782" w:rsidRPr="00F53584" w:rsidRDefault="00DC4782" w:rsidP="00DC4782">
      <w:r w:rsidRPr="00F53584">
        <w:t xml:space="preserve">Both pilots were designed from the user perspective and pioneer new ways of working that support flexibility and mobility across </w:t>
      </w:r>
      <w:r w:rsidRPr="00C01FF0">
        <w:t>g</w:t>
      </w:r>
      <w:r w:rsidRPr="00F53584">
        <w:t>overnment. They required physical space and behavioural change programs and consistent virtual technology solutions (tablets, laptops and collaboration software) that allow people to ‘work anywhere’.</w:t>
      </w:r>
    </w:p>
    <w:p w14:paraId="5CCFA6FE" w14:textId="77777777" w:rsidR="00DC4782" w:rsidRDefault="00DC4782" w:rsidP="00DC4782">
      <w:r w:rsidRPr="00F53584">
        <w:t>To date</w:t>
      </w:r>
      <w:r>
        <w:t>,</w:t>
      </w:r>
      <w:r w:rsidRPr="00F53584">
        <w:t xml:space="preserve"> the results have been overwhelmingly positive showing an increase in staff wellbeing, collaboration and productivity. In addition, the department has been able to improve the utilisation of existing space and contain rental costs.</w:t>
      </w:r>
    </w:p>
    <w:p w14:paraId="25464B85" w14:textId="77777777" w:rsidR="00DC4782" w:rsidRPr="00F900D7" w:rsidRDefault="00DC4782" w:rsidP="00DC4782">
      <w:r>
        <w:t>IMAGE: BALCONY OVERLOOKING BEACH</w:t>
      </w:r>
    </w:p>
    <w:p w14:paraId="4392FC7D" w14:textId="0430A45C" w:rsidR="00A14042" w:rsidRDefault="00A14042">
      <w:pPr>
        <w:spacing w:line="259" w:lineRule="auto"/>
        <w:rPr>
          <w:b/>
        </w:rPr>
      </w:pPr>
      <w:r>
        <w:br w:type="page"/>
      </w:r>
    </w:p>
    <w:p w14:paraId="4E2F7041" w14:textId="3CC21233" w:rsidR="00DC4782" w:rsidRDefault="00DC4782" w:rsidP="00DC4782">
      <w:pPr>
        <w:pStyle w:val="HeadingStyle3"/>
      </w:pPr>
      <w:r>
        <w:lastRenderedPageBreak/>
        <w:t>Infographic</w:t>
      </w:r>
      <w:r>
        <w:t>: Consulting on building reforms</w:t>
      </w:r>
    </w:p>
    <w:p w14:paraId="0CF25039" w14:textId="77777777" w:rsidR="00DC4782" w:rsidRPr="00096C6C" w:rsidRDefault="00DC4782" w:rsidP="00DC4782">
      <w:pPr>
        <w:pStyle w:val="HeadingStyle3"/>
        <w:numPr>
          <w:ilvl w:val="0"/>
          <w:numId w:val="20"/>
        </w:numPr>
        <w:rPr>
          <w:b w:val="0"/>
        </w:rPr>
      </w:pPr>
      <w:r w:rsidRPr="00096C6C">
        <w:rPr>
          <w:b w:val="0"/>
        </w:rPr>
        <w:t>15 consultation sessions attended by over 1,100 industry stakeholders</w:t>
      </w:r>
    </w:p>
    <w:p w14:paraId="46FC4FAE" w14:textId="77777777" w:rsidR="00DC4782" w:rsidRPr="00096C6C" w:rsidRDefault="00DC4782" w:rsidP="00DC4782">
      <w:pPr>
        <w:pStyle w:val="HeadingStyle3"/>
        <w:numPr>
          <w:ilvl w:val="0"/>
          <w:numId w:val="20"/>
        </w:numPr>
        <w:rPr>
          <w:b w:val="0"/>
        </w:rPr>
      </w:pPr>
      <w:r w:rsidRPr="00096C6C">
        <w:rPr>
          <w:b w:val="0"/>
        </w:rPr>
        <w:t>19 Deep dive sessions</w:t>
      </w:r>
    </w:p>
    <w:p w14:paraId="5889B029" w14:textId="77777777" w:rsidR="00DC4782" w:rsidRPr="00096C6C" w:rsidRDefault="00DC4782" w:rsidP="00DC4782">
      <w:pPr>
        <w:pStyle w:val="HeadingStyle3"/>
        <w:numPr>
          <w:ilvl w:val="0"/>
          <w:numId w:val="20"/>
        </w:numPr>
        <w:rPr>
          <w:b w:val="0"/>
        </w:rPr>
      </w:pPr>
      <w:r w:rsidRPr="00096C6C">
        <w:rPr>
          <w:b w:val="0"/>
        </w:rPr>
        <w:t>Received over 800 written submissions and over 1,700 responses to the online surveys</w:t>
      </w:r>
    </w:p>
    <w:p w14:paraId="0C5DE5AB" w14:textId="421571F0" w:rsidR="00EC0937" w:rsidRPr="002775FC" w:rsidRDefault="00EC0937" w:rsidP="00CF0A4C">
      <w:pPr>
        <w:pStyle w:val="HeadingStyle3"/>
      </w:pPr>
      <w:r w:rsidRPr="002775FC">
        <w:t xml:space="preserve">Delivering </w:t>
      </w:r>
      <w:r>
        <w:t>g</w:t>
      </w:r>
      <w:r w:rsidRPr="002775FC">
        <w:t xml:space="preserve">overnment </w:t>
      </w:r>
      <w:r>
        <w:t>a</w:t>
      </w:r>
      <w:r w:rsidRPr="002775FC">
        <w:t>ccommodation</w:t>
      </w:r>
    </w:p>
    <w:p w14:paraId="1D27BDE4" w14:textId="4BA1B986" w:rsidR="0090392E" w:rsidRDefault="0090392E" w:rsidP="00CF0A4C">
      <w:bookmarkStart w:id="31" w:name="_Hlk489966207"/>
      <w:r w:rsidRPr="00F071D2">
        <w:t xml:space="preserve">In </w:t>
      </w:r>
      <w:r w:rsidR="000C39C3">
        <w:t>2016–17</w:t>
      </w:r>
      <w:r>
        <w:t>, we</w:t>
      </w:r>
      <w:r w:rsidRPr="00F071D2">
        <w:t>:</w:t>
      </w:r>
    </w:p>
    <w:bookmarkEnd w:id="31"/>
    <w:p w14:paraId="346BC0E4" w14:textId="7B45C178" w:rsidR="00DA5ECC" w:rsidRPr="00B16A15" w:rsidRDefault="61388DDA" w:rsidP="00DC4782">
      <w:pPr>
        <w:pStyle w:val="Bullets"/>
        <w:numPr>
          <w:ilvl w:val="0"/>
          <w:numId w:val="6"/>
        </w:numPr>
      </w:pPr>
      <w:r>
        <w:t xml:space="preserve">continued the </w:t>
      </w:r>
      <w:r w:rsidR="00DA5ECC">
        <w:t>implement</w:t>
      </w:r>
      <w:r w:rsidR="50573FCC">
        <w:t>ation</w:t>
      </w:r>
      <w:r w:rsidR="482A7074" w:rsidRPr="00B16A15">
        <w:t xml:space="preserve"> of</w:t>
      </w:r>
      <w:r w:rsidR="00DA5ECC" w:rsidRPr="00B16A15">
        <w:t xml:space="preserve"> Phase 1 of the </w:t>
      </w:r>
      <w:r w:rsidR="00DA5ECC" w:rsidRPr="007B64A6">
        <w:rPr>
          <w:i/>
        </w:rPr>
        <w:t xml:space="preserve">Brisbane CBD </w:t>
      </w:r>
      <w:r w:rsidR="5A74DFFD" w:rsidRPr="007B64A6">
        <w:rPr>
          <w:i/>
        </w:rPr>
        <w:t xml:space="preserve">and Fringe </w:t>
      </w:r>
      <w:r w:rsidR="18D5C40C" w:rsidRPr="007B64A6">
        <w:rPr>
          <w:i/>
        </w:rPr>
        <w:t>A</w:t>
      </w:r>
      <w:r w:rsidR="5A74DFFD" w:rsidRPr="007B64A6">
        <w:rPr>
          <w:i/>
        </w:rPr>
        <w:t>rea Govern</w:t>
      </w:r>
      <w:r w:rsidR="28297CA0" w:rsidRPr="007B64A6">
        <w:rPr>
          <w:i/>
        </w:rPr>
        <w:t xml:space="preserve">ment </w:t>
      </w:r>
      <w:r w:rsidR="00DA5ECC" w:rsidRPr="00AF428A">
        <w:rPr>
          <w:i/>
        </w:rPr>
        <w:t>Office Accommodation Strategy 2015</w:t>
      </w:r>
      <w:r w:rsidR="000C39C3" w:rsidRPr="00F86B5E">
        <w:rPr>
          <w:i/>
        </w:rPr>
        <w:t>–</w:t>
      </w:r>
      <w:r w:rsidR="00DA5ECC" w:rsidRPr="00B43ED2">
        <w:rPr>
          <w:i/>
        </w:rPr>
        <w:t>25</w:t>
      </w:r>
      <w:r w:rsidR="00DA5ECC" w:rsidRPr="00B16A15">
        <w:t xml:space="preserve">. </w:t>
      </w:r>
      <w:r w:rsidR="00DB3C5D" w:rsidRPr="00792F33">
        <w:t xml:space="preserve">By the end of 2017, </w:t>
      </w:r>
      <w:r w:rsidR="00DA5ECC" w:rsidRPr="00792F33">
        <w:t xml:space="preserve">Phase 1 </w:t>
      </w:r>
      <w:r w:rsidR="482A7074" w:rsidRPr="00792F33">
        <w:t xml:space="preserve">will </w:t>
      </w:r>
      <w:r w:rsidR="2D58A39C" w:rsidRPr="00792F33">
        <w:t>se</w:t>
      </w:r>
      <w:r w:rsidR="00DA5ECC" w:rsidRPr="00792F33">
        <w:t>e 16,000 public servants</w:t>
      </w:r>
      <w:r w:rsidR="2D58A39C" w:rsidRPr="00792F33">
        <w:t xml:space="preserve"> move </w:t>
      </w:r>
      <w:r w:rsidR="00DA5ECC" w:rsidRPr="00792F33">
        <w:t>across the</w:t>
      </w:r>
      <w:r w:rsidR="00DA5ECC" w:rsidRPr="00B16A15">
        <w:t xml:space="preserve"> Brisbane CBD and Fringe Areas to 1 William Street and various CBD and fringe buildings. As part of Phase 1</w:t>
      </w:r>
      <w:r w:rsidR="00D067CE">
        <w:t>,</w:t>
      </w:r>
      <w:r w:rsidR="00DA5ECC" w:rsidRPr="00B16A15">
        <w:t xml:space="preserve"> the government vacated the Queens Wharf Brisbane precinct for the Integrated Resort Development</w:t>
      </w:r>
    </w:p>
    <w:p w14:paraId="24D3BA55" w14:textId="079BDC1B" w:rsidR="00DA5ECC" w:rsidRDefault="00DA5ECC" w:rsidP="00DC4782">
      <w:pPr>
        <w:pStyle w:val="Bullets"/>
        <w:numPr>
          <w:ilvl w:val="0"/>
          <w:numId w:val="6"/>
        </w:numPr>
      </w:pPr>
      <w:r>
        <w:t>c</w:t>
      </w:r>
      <w:r w:rsidRPr="00B16A15">
        <w:t>ommenced the develop</w:t>
      </w:r>
      <w:r w:rsidR="00BC55D2">
        <w:t>ment of</w:t>
      </w:r>
      <w:r w:rsidRPr="00B16A15">
        <w:t xml:space="preserve"> Phase 2 of the </w:t>
      </w:r>
      <w:r w:rsidRPr="007B64A6">
        <w:rPr>
          <w:i/>
        </w:rPr>
        <w:t xml:space="preserve">Brisbane CBD </w:t>
      </w:r>
      <w:r w:rsidR="4BEE1E90" w:rsidRPr="007B64A6">
        <w:rPr>
          <w:i/>
        </w:rPr>
        <w:t xml:space="preserve">and Fringe </w:t>
      </w:r>
      <w:r w:rsidR="5E3A9904" w:rsidRPr="007B64A6">
        <w:rPr>
          <w:i/>
        </w:rPr>
        <w:t>A</w:t>
      </w:r>
      <w:r w:rsidR="4BEE1E90" w:rsidRPr="007B64A6">
        <w:rPr>
          <w:i/>
        </w:rPr>
        <w:t xml:space="preserve">rea </w:t>
      </w:r>
      <w:r w:rsidR="28297CA0" w:rsidRPr="007B64A6">
        <w:rPr>
          <w:i/>
        </w:rPr>
        <w:t xml:space="preserve">Government </w:t>
      </w:r>
      <w:r w:rsidRPr="00AF428A">
        <w:rPr>
          <w:i/>
        </w:rPr>
        <w:t xml:space="preserve">Office Accommodation Strategy </w:t>
      </w:r>
      <w:r w:rsidR="000C39C3" w:rsidRPr="00F86B5E">
        <w:rPr>
          <w:i/>
        </w:rPr>
        <w:t>2015–25</w:t>
      </w:r>
      <w:r w:rsidR="007C09AC" w:rsidRPr="00B43ED2">
        <w:rPr>
          <w:i/>
        </w:rPr>
        <w:t>,</w:t>
      </w:r>
      <w:r w:rsidRPr="00B16A15">
        <w:t xml:space="preserve"> focusing on replacing a number of expiring leases aimed at achieving rent savings and improving utilisation rates across the government office accommodation portfolio</w:t>
      </w:r>
    </w:p>
    <w:p w14:paraId="2D3CB669" w14:textId="162A4511" w:rsidR="00DA5ECC" w:rsidRPr="005C0509" w:rsidRDefault="1E577EEB" w:rsidP="00096C6C">
      <w:pPr>
        <w:pStyle w:val="Bullets"/>
      </w:pPr>
      <w:r w:rsidRPr="005C0509">
        <w:t>n</w:t>
      </w:r>
      <w:r w:rsidR="67AFBBE9" w:rsidRPr="005C0509">
        <w:t xml:space="preserve">egotiated over </w:t>
      </w:r>
      <w:r w:rsidR="67AFBBE9" w:rsidRPr="00C01FF0">
        <w:t>250 new or renewed leases comprising over 160,000m</w:t>
      </w:r>
      <w:r w:rsidR="67AFBBE9" w:rsidRPr="00AB387E">
        <w:rPr>
          <w:vertAlign w:val="superscript"/>
        </w:rPr>
        <w:t>2</w:t>
      </w:r>
      <w:r w:rsidR="67AFBBE9" w:rsidRPr="00C01FF0">
        <w:t xml:space="preserve"> of office space and negotiated lease make-good savings to </w:t>
      </w:r>
      <w:r w:rsidR="00CB5442" w:rsidRPr="00C01FF0">
        <w:t>g</w:t>
      </w:r>
      <w:r w:rsidR="67AFBBE9" w:rsidRPr="00C01FF0">
        <w:t xml:space="preserve">overnment </w:t>
      </w:r>
    </w:p>
    <w:p w14:paraId="687D1C2B" w14:textId="5FE21F6E" w:rsidR="00DA5ECC" w:rsidRPr="005C0509" w:rsidRDefault="432457E1" w:rsidP="00096C6C">
      <w:pPr>
        <w:pStyle w:val="Bullets"/>
      </w:pPr>
      <w:r w:rsidRPr="005C0509">
        <w:t>developed and implemented a comprehensive facilities management service including the provision of security, cleaning, concierge and visitor management services for the 75,000m</w:t>
      </w:r>
      <w:r w:rsidRPr="00C01FF0">
        <w:rPr>
          <w:vertAlign w:val="superscript"/>
        </w:rPr>
        <w:t>2</w:t>
      </w:r>
      <w:r w:rsidRPr="005C0509">
        <w:t xml:space="preserve"> of 1 William Street, Brisbane</w:t>
      </w:r>
    </w:p>
    <w:p w14:paraId="3A76D5B4" w14:textId="48C658C8" w:rsidR="00DA5ECC" w:rsidRPr="005C0509" w:rsidRDefault="22314461" w:rsidP="00096C6C">
      <w:pPr>
        <w:pStyle w:val="Bullets"/>
      </w:pPr>
      <w:r w:rsidRPr="005C0509">
        <w:t xml:space="preserve">reduced the vacant space across the portfolio to </w:t>
      </w:r>
      <w:r w:rsidRPr="00C01FF0">
        <w:t>1.07%.</w:t>
      </w:r>
    </w:p>
    <w:p w14:paraId="3B25549D" w14:textId="0D277239" w:rsidR="00E32A0B" w:rsidRDefault="173C75F6" w:rsidP="00DC4782">
      <w:pPr>
        <w:pStyle w:val="Bullets"/>
        <w:numPr>
          <w:ilvl w:val="0"/>
          <w:numId w:val="6"/>
        </w:numPr>
      </w:pPr>
      <w:r>
        <w:t>continued to implement environmentally sustainable measures to reduce waste</w:t>
      </w:r>
      <w:r w:rsidR="00D067CE">
        <w:t>,</w:t>
      </w:r>
      <w:r>
        <w:t xml:space="preserve"> through improved separation and recycling</w:t>
      </w:r>
      <w:r w:rsidR="00E32A0B">
        <w:t xml:space="preserve"> </w:t>
      </w:r>
    </w:p>
    <w:p w14:paraId="511D1F9B" w14:textId="1B13A0D1" w:rsidR="00DA5ECC" w:rsidRPr="00B16A15" w:rsidRDefault="00DA5ECC" w:rsidP="00E05961">
      <w:pPr>
        <w:pStyle w:val="Bullets"/>
      </w:pPr>
      <w:r>
        <w:t>c</w:t>
      </w:r>
      <w:r w:rsidRPr="00B16A15">
        <w:t xml:space="preserve">ontinued to audit energy usage in </w:t>
      </w:r>
      <w:r w:rsidR="00D643BC">
        <w:t>g</w:t>
      </w:r>
      <w:r w:rsidRPr="00B16A15">
        <w:t>overnment office accommodation and initiate</w:t>
      </w:r>
      <w:r w:rsidR="003268F3">
        <w:t>d</w:t>
      </w:r>
      <w:r w:rsidRPr="00B16A15">
        <w:t xml:space="preserve"> energy saving retrofits in the owned and leased office building portfolios</w:t>
      </w:r>
      <w:r w:rsidR="00D067CE">
        <w:t>,</w:t>
      </w:r>
      <w:r w:rsidRPr="00B16A15">
        <w:t xml:space="preserve"> as part of all maintenance and upgrade programs and or lease renewals</w:t>
      </w:r>
    </w:p>
    <w:p w14:paraId="5D156BC3" w14:textId="77777777" w:rsidR="00AB387E" w:rsidRDefault="00DA5ECC">
      <w:pPr>
        <w:pStyle w:val="Bullets"/>
      </w:pPr>
      <w:r>
        <w:t>c</w:t>
      </w:r>
      <w:r w:rsidRPr="00B16A15">
        <w:t xml:space="preserve">ontinued to pilot the use of </w:t>
      </w:r>
      <w:r w:rsidR="00D067CE">
        <w:t xml:space="preserve">a </w:t>
      </w:r>
      <w:r w:rsidRPr="00B16A15">
        <w:t xml:space="preserve">Green Star Performance rating tool for three owned </w:t>
      </w:r>
      <w:r w:rsidRPr="00B16A15">
        <w:t xml:space="preserve">regional office buildings and the Green Star Interiors rating tool at </w:t>
      </w:r>
      <w:r w:rsidR="005E3DED">
        <w:t>one building in</w:t>
      </w:r>
      <w:r w:rsidRPr="00B16A15">
        <w:t xml:space="preserve"> Brisbane</w:t>
      </w:r>
    </w:p>
    <w:p w14:paraId="1F9AA891" w14:textId="77777777" w:rsidR="00AB387E" w:rsidRPr="00B16A15" w:rsidRDefault="00AB387E">
      <w:pPr>
        <w:pStyle w:val="Bullets"/>
      </w:pPr>
      <w:r>
        <w:t>p</w:t>
      </w:r>
      <w:r w:rsidRPr="00B16A15">
        <w:t>iloted</w:t>
      </w:r>
      <w:r>
        <w:t xml:space="preserve"> a</w:t>
      </w:r>
      <w:r w:rsidRPr="00B16A15">
        <w:t xml:space="preserve"> new agile fitout for Queensland Government Accommodation Office staff</w:t>
      </w:r>
    </w:p>
    <w:p w14:paraId="225C24B0" w14:textId="17FC806D" w:rsidR="00FD0819" w:rsidRDefault="00AB387E" w:rsidP="00912E38">
      <w:pPr>
        <w:pStyle w:val="Bullets"/>
      </w:pPr>
      <w:r w:rsidRPr="005C0509">
        <w:t>opened two new whole-of-government Distributed Work Centres in Robina and Maroochydore in addition to the centre opened in Ipswich in 2015–16. The three Distributed Work Centres now enable more than 120 government workers to avoid lengthy commutes to the Brisbane CBD, preserve work/life blend and increase productivity</w:t>
      </w:r>
      <w:r>
        <w:t>.</w:t>
      </w:r>
    </w:p>
    <w:p w14:paraId="2E023F88" w14:textId="64F529AD" w:rsidR="00FF6BA6" w:rsidRPr="009D7AFA" w:rsidRDefault="000575D1" w:rsidP="00CF0A4C">
      <w:pPr>
        <w:pStyle w:val="HeadingStyle3"/>
      </w:pPr>
      <w:r>
        <w:t xml:space="preserve">Delivering </w:t>
      </w:r>
      <w:r w:rsidR="00B63F01">
        <w:t>government employee h</w:t>
      </w:r>
      <w:r w:rsidR="000E4577" w:rsidRPr="009D7AFA">
        <w:t>ousing</w:t>
      </w:r>
    </w:p>
    <w:p w14:paraId="7A235AEE" w14:textId="5C0FF185" w:rsidR="00DA5ECC" w:rsidRPr="004F34EA" w:rsidRDefault="00FF6BA6" w:rsidP="00CF0A4C">
      <w:r w:rsidRPr="00F071D2">
        <w:t xml:space="preserve">In </w:t>
      </w:r>
      <w:r w:rsidR="000C39C3">
        <w:t>2016–17</w:t>
      </w:r>
      <w:r>
        <w:t>, we</w:t>
      </w:r>
      <w:r w:rsidRPr="00F071D2">
        <w:t>:</w:t>
      </w:r>
    </w:p>
    <w:p w14:paraId="0F34A889" w14:textId="63931ECC" w:rsidR="0012421C" w:rsidRDefault="00BC55D2" w:rsidP="00DC4782">
      <w:pPr>
        <w:pStyle w:val="Bullets"/>
        <w:numPr>
          <w:ilvl w:val="0"/>
          <w:numId w:val="6"/>
        </w:numPr>
      </w:pPr>
      <w:r>
        <w:t>d</w:t>
      </w:r>
      <w:r w:rsidR="008F7C84">
        <w:t>elivered</w:t>
      </w:r>
      <w:r w:rsidR="0012421C" w:rsidRPr="690957E2">
        <w:t xml:space="preserve"> </w:t>
      </w:r>
      <w:r w:rsidR="0012421C" w:rsidRPr="00C01FF0">
        <w:rPr>
          <w:shd w:val="clear" w:color="auto" w:fill="FFFFFF" w:themeFill="background1"/>
        </w:rPr>
        <w:t>31</w:t>
      </w:r>
      <w:r w:rsidR="0012421C">
        <w:t xml:space="preserve"> new government employee residences to enable </w:t>
      </w:r>
      <w:r w:rsidR="00A36F41">
        <w:t>provision</w:t>
      </w:r>
      <w:r w:rsidR="0012421C">
        <w:t xml:space="preserve"> of essential services and ret</w:t>
      </w:r>
      <w:r w:rsidR="001412C1">
        <w:t>ention of</w:t>
      </w:r>
      <w:r w:rsidR="0012421C" w:rsidRPr="690957E2">
        <w:t xml:space="preserve"> </w:t>
      </w:r>
      <w:r w:rsidR="0012421C">
        <w:t>skilled government staff in Thursday Island, Cooktown, Mornington Island and Weipa</w:t>
      </w:r>
    </w:p>
    <w:p w14:paraId="18AC91B9" w14:textId="1EA62DB8" w:rsidR="0090392E" w:rsidRDefault="00BC55D2" w:rsidP="00096C6C">
      <w:pPr>
        <w:pStyle w:val="Bullets"/>
      </w:pPr>
      <w:r>
        <w:t>d</w:t>
      </w:r>
      <w:r w:rsidR="0012421C">
        <w:t xml:space="preserve">elivered maintenance, upgrade and improvement programs to </w:t>
      </w:r>
      <w:r w:rsidR="00171D64">
        <w:t>enhance</w:t>
      </w:r>
      <w:r w:rsidR="008F7C84">
        <w:t xml:space="preserve"> the quality and standard of government employee housing</w:t>
      </w:r>
    </w:p>
    <w:p w14:paraId="6E9CDDEA" w14:textId="5B665C07" w:rsidR="0090392E" w:rsidRDefault="00BC55D2" w:rsidP="00096C6C">
      <w:pPr>
        <w:pStyle w:val="Bullets"/>
      </w:pPr>
      <w:r>
        <w:t>i</w:t>
      </w:r>
      <w:r w:rsidR="008F7C84">
        <w:t>mproved occupancy of government employee housing in areas with long term vacancies</w:t>
      </w:r>
      <w:r w:rsidR="00DA5BFD">
        <w:t>,</w:t>
      </w:r>
      <w:r w:rsidR="008F7C84">
        <w:t xml:space="preserve"> by engaging real estate agents to lease properties to the private market</w:t>
      </w:r>
    </w:p>
    <w:p w14:paraId="136DCCEF" w14:textId="3B7E7CAA" w:rsidR="00A36F41" w:rsidRDefault="00BC55D2" w:rsidP="00096C6C">
      <w:pPr>
        <w:pStyle w:val="Bullets"/>
      </w:pPr>
      <w:r>
        <w:t>i</w:t>
      </w:r>
      <w:r w:rsidR="008F7C84">
        <w:t>mplemented a new tenancy management model</w:t>
      </w:r>
      <w:r w:rsidR="00DA5BFD">
        <w:t>,</w:t>
      </w:r>
      <w:r w:rsidR="008F7C84">
        <w:t xml:space="preserve"> </w:t>
      </w:r>
      <w:r w:rsidR="00234ACC">
        <w:t>to enable leasing agencies to self-manage or have the department undertake tenancy management services for them</w:t>
      </w:r>
    </w:p>
    <w:p w14:paraId="29B417BF" w14:textId="6FBA7D13" w:rsidR="0090392E" w:rsidRPr="00050D5D" w:rsidRDefault="00BC55D2" w:rsidP="00DC4782">
      <w:pPr>
        <w:pStyle w:val="Bullets"/>
        <w:numPr>
          <w:ilvl w:val="0"/>
          <w:numId w:val="6"/>
        </w:numPr>
      </w:pPr>
      <w:r>
        <w:t>t</w:t>
      </w:r>
      <w:r w:rsidR="00ED0234">
        <w:t xml:space="preserve">ransferred </w:t>
      </w:r>
      <w:r w:rsidR="00EF3665">
        <w:t xml:space="preserve">the ownership </w:t>
      </w:r>
      <w:r w:rsidR="00EF3665" w:rsidRPr="00C01FF0">
        <w:rPr>
          <w:shd w:val="clear" w:color="auto" w:fill="FFFFFF" w:themeFill="background1"/>
        </w:rPr>
        <w:t xml:space="preserve">of 90 </w:t>
      </w:r>
      <w:r w:rsidR="00954B1C" w:rsidRPr="00C01FF0">
        <w:rPr>
          <w:shd w:val="clear" w:color="auto" w:fill="FFFFFF" w:themeFill="background1"/>
        </w:rPr>
        <w:t>properties and 40 parcels</w:t>
      </w:r>
      <w:r w:rsidR="00954B1C">
        <w:t xml:space="preserve"> of vacant land from </w:t>
      </w:r>
      <w:r w:rsidR="00A120DD">
        <w:t>the Department of Education and Training</w:t>
      </w:r>
      <w:r w:rsidR="007F1160">
        <w:t xml:space="preserve"> as part of phase two of the </w:t>
      </w:r>
      <w:r w:rsidR="00B63F01">
        <w:t>g</w:t>
      </w:r>
      <w:r w:rsidR="007F1160">
        <w:t xml:space="preserve">overnment </w:t>
      </w:r>
      <w:r w:rsidR="00B63F01">
        <w:t>e</w:t>
      </w:r>
      <w:r w:rsidR="007F1160">
        <w:t xml:space="preserve">mployee </w:t>
      </w:r>
      <w:r w:rsidR="00B63F01">
        <w:t>h</w:t>
      </w:r>
      <w:r w:rsidR="007F1160">
        <w:t>ousing centralisation project</w:t>
      </w:r>
      <w:r w:rsidR="0090392E" w:rsidRPr="690957E2">
        <w:t>.</w:t>
      </w:r>
    </w:p>
    <w:p w14:paraId="6B738C96" w14:textId="77777777" w:rsidR="005C5EE3" w:rsidRPr="00BD34BE" w:rsidRDefault="005C5EE3" w:rsidP="00E05961">
      <w:pPr>
        <w:pStyle w:val="Bullets"/>
        <w:numPr>
          <w:ilvl w:val="0"/>
          <w:numId w:val="0"/>
        </w:numPr>
      </w:pPr>
    </w:p>
    <w:p w14:paraId="4AE538A6" w14:textId="77777777" w:rsidR="005C5EE3" w:rsidRDefault="005C5EE3" w:rsidP="00CF0A4C">
      <w:pPr>
        <w:pStyle w:val="HeadingStyle3"/>
        <w:rPr>
          <w:lang w:eastAsia="en-AU"/>
        </w:rPr>
      </w:pPr>
      <w:bookmarkStart w:id="32" w:name="_Hlk489343089"/>
      <w:r>
        <w:rPr>
          <w:lang w:eastAsia="en-AU"/>
        </w:rPr>
        <w:t>Coordinating disaster response</w:t>
      </w:r>
    </w:p>
    <w:p w14:paraId="1EC949D1" w14:textId="6AB165F0" w:rsidR="00DC4297" w:rsidRDefault="00DC4297" w:rsidP="00CF0A4C">
      <w:pPr>
        <w:rPr>
          <w:lang w:eastAsia="en-AU"/>
        </w:rPr>
      </w:pPr>
      <w:r>
        <w:rPr>
          <w:lang w:eastAsia="en-AU"/>
        </w:rPr>
        <w:t>In March</w:t>
      </w:r>
      <w:r w:rsidR="00DA1EC9">
        <w:rPr>
          <w:lang w:eastAsia="en-AU"/>
        </w:rPr>
        <w:t>-</w:t>
      </w:r>
      <w:r>
        <w:rPr>
          <w:lang w:eastAsia="en-AU"/>
        </w:rPr>
        <w:t xml:space="preserve">April 2017, Severe Tropical Cyclone Debbie impacted many areas of Queensland. </w:t>
      </w:r>
      <w:r w:rsidRPr="00FC40F2">
        <w:rPr>
          <w:lang w:eastAsia="en-AU"/>
        </w:rPr>
        <w:t xml:space="preserve">The department </w:t>
      </w:r>
      <w:r>
        <w:rPr>
          <w:lang w:eastAsia="en-AU"/>
        </w:rPr>
        <w:t xml:space="preserve">continues to be </w:t>
      </w:r>
      <w:r w:rsidRPr="00FC40F2">
        <w:rPr>
          <w:lang w:eastAsia="en-AU"/>
        </w:rPr>
        <w:t>an integral part of Queensland’s disaster management arrangements by providing support to</w:t>
      </w:r>
      <w:r>
        <w:rPr>
          <w:lang w:eastAsia="en-AU"/>
        </w:rPr>
        <w:t xml:space="preserve"> </w:t>
      </w:r>
      <w:r w:rsidRPr="00FC40F2">
        <w:rPr>
          <w:lang w:eastAsia="en-AU"/>
        </w:rPr>
        <w:t>other agencies in the key role of building and engineering services</w:t>
      </w:r>
      <w:r>
        <w:rPr>
          <w:lang w:eastAsia="en-AU"/>
        </w:rPr>
        <w:t xml:space="preserve"> and was actively involved in the response and recovery to the disaster</w:t>
      </w:r>
      <w:r w:rsidRPr="00FC40F2">
        <w:rPr>
          <w:lang w:eastAsia="en-AU"/>
        </w:rPr>
        <w:t>.</w:t>
      </w:r>
    </w:p>
    <w:p w14:paraId="2EBB9C48" w14:textId="32A0943C" w:rsidR="00DC4297" w:rsidRPr="0041753D" w:rsidRDefault="00DC4297" w:rsidP="00CF0A4C">
      <w:r w:rsidRPr="0041753D">
        <w:t xml:space="preserve">In </w:t>
      </w:r>
      <w:r w:rsidR="000C39C3">
        <w:t>2016–17</w:t>
      </w:r>
      <w:r w:rsidRPr="0041753D">
        <w:t>, we:</w:t>
      </w:r>
    </w:p>
    <w:p w14:paraId="6E673279" w14:textId="12D695A5" w:rsidR="00DC4297" w:rsidRPr="00AF428A" w:rsidRDefault="00F434C4" w:rsidP="00DC4782">
      <w:pPr>
        <w:pStyle w:val="GOVBulletPointLevel1"/>
        <w:numPr>
          <w:ilvl w:val="0"/>
          <w:numId w:val="7"/>
        </w:numPr>
        <w:jc w:val="left"/>
        <w:rPr>
          <w:rFonts w:ascii="Arial" w:eastAsiaTheme="minorEastAsia" w:hAnsi="Arial" w:cs="Arial"/>
          <w:snapToGrid/>
        </w:rPr>
      </w:pPr>
      <w:r>
        <w:rPr>
          <w:rFonts w:ascii="Arial" w:eastAsiaTheme="minorEastAsia" w:hAnsi="Arial" w:cs="Arial"/>
          <w:snapToGrid/>
        </w:rPr>
        <w:lastRenderedPageBreak/>
        <w:t>r</w:t>
      </w:r>
      <w:r w:rsidR="00DC4297" w:rsidRPr="000942B7">
        <w:rPr>
          <w:rFonts w:ascii="Arial" w:eastAsiaTheme="minorEastAsia" w:hAnsi="Arial" w:cs="Arial"/>
          <w:snapToGrid/>
        </w:rPr>
        <w:t xml:space="preserve">eceived and processed </w:t>
      </w:r>
      <w:r w:rsidR="00DC4297" w:rsidRPr="00C01FF0">
        <w:rPr>
          <w:rFonts w:ascii="Arial" w:eastAsiaTheme="minorEastAsia" w:hAnsi="Arial" w:cs="Arial"/>
          <w:snapToGrid/>
          <w:shd w:val="clear" w:color="auto" w:fill="FFFFFF" w:themeFill="background1"/>
        </w:rPr>
        <w:t>310</w:t>
      </w:r>
      <w:r w:rsidR="00DC4297" w:rsidRPr="000942B7">
        <w:rPr>
          <w:rFonts w:ascii="Arial" w:eastAsiaTheme="minorEastAsia" w:hAnsi="Arial" w:cs="Arial"/>
          <w:snapToGrid/>
        </w:rPr>
        <w:t xml:space="preserve"> applications for emergency housing assistance (a</w:t>
      </w:r>
      <w:r>
        <w:rPr>
          <w:rFonts w:ascii="Arial" w:eastAsiaTheme="minorEastAsia" w:hAnsi="Arial" w:cs="Arial"/>
          <w:snapToGrid/>
        </w:rPr>
        <w:t>ll were closed by 13 June 2017)</w:t>
      </w:r>
    </w:p>
    <w:p w14:paraId="08082E44" w14:textId="556398CA" w:rsidR="00DC4297" w:rsidRPr="00AF428A" w:rsidRDefault="00F434C4" w:rsidP="00DC4782">
      <w:pPr>
        <w:pStyle w:val="GOVBulletPointLevel1"/>
        <w:numPr>
          <w:ilvl w:val="0"/>
          <w:numId w:val="7"/>
        </w:numPr>
        <w:jc w:val="left"/>
        <w:rPr>
          <w:rFonts w:ascii="Arial" w:eastAsiaTheme="minorEastAsia" w:hAnsi="Arial" w:cs="Arial"/>
        </w:rPr>
      </w:pPr>
      <w:r>
        <w:rPr>
          <w:rFonts w:ascii="Arial" w:eastAsiaTheme="minorEastAsia" w:hAnsi="Arial" w:cs="Arial"/>
          <w:snapToGrid/>
        </w:rPr>
        <w:t>a</w:t>
      </w:r>
      <w:r w:rsidR="00DC4297" w:rsidRPr="173C75F6">
        <w:rPr>
          <w:rFonts w:ascii="Arial" w:eastAsiaTheme="minorEastAsia" w:hAnsi="Arial" w:cs="Arial"/>
          <w:snapToGrid/>
        </w:rPr>
        <w:t xml:space="preserve">ssisted a further </w:t>
      </w:r>
      <w:r w:rsidR="00DC4297" w:rsidRPr="00C01FF0">
        <w:rPr>
          <w:rFonts w:ascii="Arial" w:eastAsiaTheme="minorEastAsia" w:hAnsi="Arial" w:cs="Arial"/>
          <w:snapToGrid/>
          <w:shd w:val="clear" w:color="auto" w:fill="FFFFFF" w:themeFill="background1"/>
        </w:rPr>
        <w:t>171</w:t>
      </w:r>
      <w:r w:rsidR="00DC4297" w:rsidRPr="173C75F6">
        <w:rPr>
          <w:rFonts w:ascii="Arial" w:eastAsiaTheme="minorEastAsia" w:hAnsi="Arial" w:cs="Arial"/>
          <w:snapToGrid/>
        </w:rPr>
        <w:t xml:space="preserve"> people with short term emergency </w:t>
      </w:r>
      <w:r w:rsidR="61388DDA" w:rsidRPr="173C75F6">
        <w:rPr>
          <w:rFonts w:ascii="Arial" w:eastAsiaTheme="minorEastAsia" w:hAnsi="Arial" w:cs="Arial"/>
          <w:snapToGrid/>
        </w:rPr>
        <w:t xml:space="preserve">accommodation </w:t>
      </w:r>
      <w:r w:rsidR="00DC4297" w:rsidRPr="173C75F6">
        <w:rPr>
          <w:rFonts w:ascii="Arial" w:eastAsiaTheme="minorEastAsia" w:hAnsi="Arial" w:cs="Arial"/>
          <w:snapToGrid/>
        </w:rPr>
        <w:t>throughout the event</w:t>
      </w:r>
      <w:r>
        <w:rPr>
          <w:rFonts w:ascii="Arial" w:eastAsiaTheme="minorEastAsia" w:hAnsi="Arial" w:cs="Arial"/>
          <w:snapToGrid/>
        </w:rPr>
        <w:t xml:space="preserve"> in the North Queensland Region</w:t>
      </w:r>
    </w:p>
    <w:p w14:paraId="3CE3A62B" w14:textId="3D15CB20" w:rsidR="00DC4297" w:rsidRPr="00AF428A" w:rsidRDefault="00F434C4" w:rsidP="00DC4782">
      <w:pPr>
        <w:pStyle w:val="GOVBulletPointLevel1"/>
        <w:numPr>
          <w:ilvl w:val="0"/>
          <w:numId w:val="7"/>
        </w:numPr>
        <w:jc w:val="left"/>
        <w:rPr>
          <w:rFonts w:ascii="Arial" w:eastAsiaTheme="minorEastAsia" w:hAnsi="Arial" w:cs="Arial"/>
          <w:snapToGrid/>
        </w:rPr>
      </w:pPr>
      <w:r>
        <w:rPr>
          <w:rFonts w:ascii="Arial" w:eastAsiaTheme="minorEastAsia" w:hAnsi="Arial" w:cs="Arial"/>
          <w:snapToGrid/>
        </w:rPr>
        <w:t>m</w:t>
      </w:r>
      <w:r w:rsidR="00DC4297" w:rsidRPr="000942B7">
        <w:rPr>
          <w:rFonts w:ascii="Arial" w:eastAsiaTheme="minorEastAsia" w:hAnsi="Arial" w:cs="Arial"/>
          <w:snapToGrid/>
        </w:rPr>
        <w:t>ade more than 1,000 calls to vulnerable social housing te</w:t>
      </w:r>
      <w:r>
        <w:rPr>
          <w:rFonts w:ascii="Arial" w:eastAsiaTheme="minorEastAsia" w:hAnsi="Arial" w:cs="Arial"/>
          <w:snapToGrid/>
        </w:rPr>
        <w:t>nants to check on their welfare</w:t>
      </w:r>
    </w:p>
    <w:p w14:paraId="046A93B2" w14:textId="5B56C2B4" w:rsidR="00DC4297" w:rsidRPr="00AF428A" w:rsidRDefault="00F434C4" w:rsidP="00DC4782">
      <w:pPr>
        <w:pStyle w:val="GOVBulletPointLevel1"/>
        <w:numPr>
          <w:ilvl w:val="0"/>
          <w:numId w:val="7"/>
        </w:numPr>
        <w:jc w:val="left"/>
        <w:rPr>
          <w:rFonts w:ascii="Arial" w:eastAsiaTheme="minorEastAsia" w:hAnsi="Arial" w:cs="Arial"/>
          <w:snapToGrid/>
        </w:rPr>
      </w:pPr>
      <w:r>
        <w:rPr>
          <w:rFonts w:ascii="Arial" w:eastAsiaTheme="minorEastAsia" w:hAnsi="Arial" w:cs="Arial"/>
          <w:snapToGrid/>
        </w:rPr>
        <w:t>d</w:t>
      </w:r>
      <w:r w:rsidR="00DC4297" w:rsidRPr="000942B7">
        <w:rPr>
          <w:rFonts w:ascii="Arial" w:eastAsiaTheme="minorEastAsia" w:hAnsi="Arial" w:cs="Arial"/>
          <w:snapToGrid/>
        </w:rPr>
        <w:t>eployed 42 staff as part of the Community Recovery Ready Reserve, with a number of off</w:t>
      </w:r>
      <w:r>
        <w:rPr>
          <w:rFonts w:ascii="Arial" w:eastAsiaTheme="minorEastAsia" w:hAnsi="Arial" w:cs="Arial"/>
          <w:snapToGrid/>
        </w:rPr>
        <w:t>icers doing repeat deployments</w:t>
      </w:r>
    </w:p>
    <w:p w14:paraId="07B0BF80" w14:textId="26FE665A" w:rsidR="00DC4297" w:rsidRPr="00AF428A" w:rsidRDefault="00F434C4" w:rsidP="00DC4782">
      <w:pPr>
        <w:pStyle w:val="GOVBulletPointLevel1"/>
        <w:numPr>
          <w:ilvl w:val="0"/>
          <w:numId w:val="7"/>
        </w:numPr>
        <w:jc w:val="left"/>
        <w:rPr>
          <w:rFonts w:ascii="Arial" w:eastAsiaTheme="minorEastAsia" w:hAnsi="Arial" w:cs="Arial"/>
          <w:snapToGrid/>
        </w:rPr>
      </w:pPr>
      <w:r>
        <w:rPr>
          <w:rFonts w:ascii="Arial" w:eastAsiaTheme="minorEastAsia" w:hAnsi="Arial" w:cs="Arial"/>
          <w:snapToGrid/>
        </w:rPr>
        <w:t>c</w:t>
      </w:r>
      <w:r w:rsidR="00DC4297" w:rsidRPr="000942B7">
        <w:rPr>
          <w:rFonts w:ascii="Arial" w:eastAsiaTheme="minorEastAsia" w:hAnsi="Arial" w:cs="Arial"/>
          <w:snapToGrid/>
        </w:rPr>
        <w:t>ompleted 1,991 damage asse</w:t>
      </w:r>
      <w:r>
        <w:rPr>
          <w:rFonts w:ascii="Arial" w:eastAsiaTheme="minorEastAsia" w:hAnsi="Arial" w:cs="Arial"/>
          <w:snapToGrid/>
        </w:rPr>
        <w:t>ssments of government buildings</w:t>
      </w:r>
    </w:p>
    <w:p w14:paraId="22AF4EF1" w14:textId="7C44FBBF" w:rsidR="00DC4297" w:rsidRPr="00AF428A" w:rsidRDefault="00F434C4" w:rsidP="00DC4782">
      <w:pPr>
        <w:pStyle w:val="GOVBulletPointLevel1"/>
        <w:numPr>
          <w:ilvl w:val="0"/>
          <w:numId w:val="7"/>
        </w:numPr>
        <w:jc w:val="left"/>
        <w:rPr>
          <w:rFonts w:ascii="Arial" w:eastAsiaTheme="minorEastAsia" w:hAnsi="Arial" w:cs="Arial"/>
          <w:snapToGrid/>
        </w:rPr>
      </w:pPr>
      <w:r>
        <w:rPr>
          <w:rFonts w:ascii="Arial" w:eastAsiaTheme="minorEastAsia" w:hAnsi="Arial" w:cs="Arial"/>
          <w:snapToGrid/>
        </w:rPr>
        <w:t>p</w:t>
      </w:r>
      <w:r w:rsidR="00DC4297" w:rsidRPr="000942B7">
        <w:rPr>
          <w:rFonts w:ascii="Arial" w:eastAsiaTheme="minorEastAsia" w:hAnsi="Arial" w:cs="Arial"/>
          <w:snapToGrid/>
        </w:rPr>
        <w:t xml:space="preserve">rogressed work to repair government buildings. As at </w:t>
      </w:r>
      <w:r w:rsidR="00704C7D">
        <w:rPr>
          <w:rFonts w:ascii="Arial" w:eastAsiaTheme="minorEastAsia" w:hAnsi="Arial" w:cs="Arial"/>
          <w:snapToGrid/>
        </w:rPr>
        <w:t>22 June</w:t>
      </w:r>
      <w:r w:rsidR="00DC4297" w:rsidRPr="000942B7">
        <w:rPr>
          <w:rFonts w:ascii="Arial" w:eastAsiaTheme="minorEastAsia" w:hAnsi="Arial" w:cs="Arial"/>
          <w:snapToGrid/>
        </w:rPr>
        <w:t xml:space="preserve"> 2017, </w:t>
      </w:r>
      <w:r w:rsidR="00704C7D">
        <w:rPr>
          <w:rFonts w:ascii="Arial" w:eastAsiaTheme="minorEastAsia" w:hAnsi="Arial" w:cs="Arial"/>
          <w:snapToGrid/>
        </w:rPr>
        <w:t>70</w:t>
      </w:r>
      <w:r w:rsidR="008A7B98" w:rsidRPr="000942B7">
        <w:rPr>
          <w:rFonts w:ascii="Arial" w:eastAsiaTheme="minorEastAsia" w:hAnsi="Arial" w:cs="Arial"/>
          <w:snapToGrid/>
        </w:rPr>
        <w:t xml:space="preserve"> per cent</w:t>
      </w:r>
      <w:r w:rsidR="00DC4297" w:rsidRPr="000942B7">
        <w:rPr>
          <w:rFonts w:ascii="Arial" w:eastAsiaTheme="minorEastAsia" w:hAnsi="Arial" w:cs="Arial"/>
          <w:snapToGrid/>
        </w:rPr>
        <w:t xml:space="preserve"> (</w:t>
      </w:r>
      <w:r w:rsidR="00704C7D">
        <w:rPr>
          <w:rFonts w:ascii="Arial" w:eastAsiaTheme="minorEastAsia" w:hAnsi="Arial" w:cs="Arial"/>
          <w:snapToGrid/>
        </w:rPr>
        <w:t>6,518</w:t>
      </w:r>
      <w:r w:rsidR="00DC4297" w:rsidRPr="000942B7">
        <w:rPr>
          <w:rFonts w:ascii="Arial" w:eastAsiaTheme="minorEastAsia" w:hAnsi="Arial" w:cs="Arial"/>
          <w:snapToGrid/>
        </w:rPr>
        <w:t>) of the 9,</w:t>
      </w:r>
      <w:r w:rsidR="00704C7D">
        <w:rPr>
          <w:rFonts w:ascii="Arial" w:eastAsiaTheme="minorEastAsia" w:hAnsi="Arial" w:cs="Arial"/>
          <w:snapToGrid/>
        </w:rPr>
        <w:t>373</w:t>
      </w:r>
      <w:r w:rsidR="00DC4297" w:rsidRPr="000942B7">
        <w:rPr>
          <w:rFonts w:ascii="Arial" w:eastAsiaTheme="minorEastAsia" w:hAnsi="Arial" w:cs="Arial"/>
          <w:snapToGrid/>
        </w:rPr>
        <w:t xml:space="preserve"> request</w:t>
      </w:r>
      <w:r>
        <w:rPr>
          <w:rFonts w:ascii="Arial" w:eastAsiaTheme="minorEastAsia" w:hAnsi="Arial" w:cs="Arial"/>
          <w:snapToGrid/>
        </w:rPr>
        <w:t>ed tasks were completed on site</w:t>
      </w:r>
    </w:p>
    <w:p w14:paraId="3A744B4B" w14:textId="55140AF6" w:rsidR="00DC4297" w:rsidRPr="00AF428A" w:rsidRDefault="00F434C4" w:rsidP="00DC4782">
      <w:pPr>
        <w:pStyle w:val="GOVBulletPointLevel1"/>
        <w:numPr>
          <w:ilvl w:val="0"/>
          <w:numId w:val="7"/>
        </w:numPr>
        <w:jc w:val="left"/>
        <w:rPr>
          <w:rFonts w:ascii="Arial" w:eastAsiaTheme="minorEastAsia" w:hAnsi="Arial" w:cs="Arial"/>
        </w:rPr>
      </w:pPr>
      <w:r>
        <w:rPr>
          <w:rFonts w:ascii="Arial" w:eastAsiaTheme="minorEastAsia" w:hAnsi="Arial" w:cs="Arial"/>
          <w:snapToGrid/>
        </w:rPr>
        <w:t>r</w:t>
      </w:r>
      <w:r w:rsidR="00DC4297" w:rsidRPr="000942B7">
        <w:rPr>
          <w:rFonts w:ascii="Arial" w:eastAsiaTheme="minorEastAsia" w:hAnsi="Arial" w:cs="Arial"/>
          <w:snapToGrid/>
        </w:rPr>
        <w:t xml:space="preserve">eceived requests from the Department of Communities, Child Safety and Disability Services for </w:t>
      </w:r>
      <w:r w:rsidR="75C0116A" w:rsidRPr="75C0116A">
        <w:rPr>
          <w:rFonts w:ascii="Arial" w:eastAsiaTheme="minorEastAsia" w:hAnsi="Arial" w:cs="Arial"/>
          <w:snapToGrid/>
        </w:rPr>
        <w:t>385</w:t>
      </w:r>
      <w:r w:rsidR="00DC4297" w:rsidRPr="000942B7">
        <w:rPr>
          <w:rFonts w:ascii="Arial" w:eastAsiaTheme="minorEastAsia" w:hAnsi="Arial" w:cs="Arial"/>
          <w:snapToGrid/>
        </w:rPr>
        <w:t xml:space="preserve"> Structural Assistance Grant assessments</w:t>
      </w:r>
      <w:r w:rsidR="00AA2CF1">
        <w:rPr>
          <w:rFonts w:ascii="Arial" w:eastAsiaTheme="minorEastAsia" w:hAnsi="Arial" w:cs="Arial"/>
          <w:snapToGrid/>
        </w:rPr>
        <w:t xml:space="preserve"> (as at 27 </w:t>
      </w:r>
      <w:r w:rsidR="00704C7D">
        <w:rPr>
          <w:rFonts w:ascii="Arial" w:eastAsiaTheme="minorEastAsia" w:hAnsi="Arial" w:cs="Arial"/>
          <w:snapToGrid/>
        </w:rPr>
        <w:t>June</w:t>
      </w:r>
      <w:r w:rsidR="00AA2CF1">
        <w:rPr>
          <w:rFonts w:ascii="Arial" w:eastAsiaTheme="minorEastAsia" w:hAnsi="Arial" w:cs="Arial"/>
          <w:snapToGrid/>
        </w:rPr>
        <w:t xml:space="preserve"> 2017). </w:t>
      </w:r>
      <w:r w:rsidR="00AA2CF1" w:rsidRPr="75C0116A">
        <w:rPr>
          <w:rFonts w:ascii="Arial" w:eastAsiaTheme="minorEastAsia" w:hAnsi="Arial" w:cs="Arial"/>
          <w:snapToGrid/>
        </w:rPr>
        <w:t>9</w:t>
      </w:r>
      <w:r w:rsidR="00704C7D">
        <w:rPr>
          <w:rFonts w:ascii="Arial" w:eastAsiaTheme="minorEastAsia" w:hAnsi="Arial" w:cs="Arial"/>
          <w:snapToGrid/>
        </w:rPr>
        <w:t>4</w:t>
      </w:r>
      <w:r w:rsidR="00AA2CF1" w:rsidRPr="75C0116A">
        <w:rPr>
          <w:rFonts w:ascii="Arial" w:eastAsiaTheme="minorEastAsia" w:hAnsi="Arial" w:cs="Arial"/>
          <w:snapToGrid/>
        </w:rPr>
        <w:t>% (</w:t>
      </w:r>
      <w:r w:rsidR="00704C7D">
        <w:rPr>
          <w:rFonts w:ascii="Arial" w:eastAsiaTheme="minorEastAsia" w:hAnsi="Arial" w:cs="Arial"/>
          <w:snapToGrid/>
        </w:rPr>
        <w:t>362</w:t>
      </w:r>
      <w:r w:rsidR="00AA2CF1">
        <w:rPr>
          <w:rFonts w:ascii="Arial" w:eastAsiaTheme="minorEastAsia" w:hAnsi="Arial" w:cs="Arial"/>
          <w:snapToGrid/>
        </w:rPr>
        <w:t>) had been completed.</w:t>
      </w:r>
    </w:p>
    <w:bookmarkEnd w:id="32"/>
    <w:p w14:paraId="7A6EA780" w14:textId="32CCA795" w:rsidR="005C5EE3" w:rsidRDefault="005C5EE3" w:rsidP="00792F33">
      <w:pPr>
        <w:pStyle w:val="Heading3"/>
      </w:pPr>
      <w:r w:rsidRPr="00E52E16">
        <w:t xml:space="preserve">Our </w:t>
      </w:r>
      <w:r w:rsidR="00DD5B0E">
        <w:t>F</w:t>
      </w:r>
      <w:r w:rsidRPr="00E52E16">
        <w:t>uture</w:t>
      </w:r>
      <w:r>
        <w:t xml:space="preserve"> </w:t>
      </w:r>
      <w:r w:rsidR="00FD033B">
        <w:t>Focus</w:t>
      </w:r>
    </w:p>
    <w:p w14:paraId="2D69F553" w14:textId="412D3097" w:rsidR="0000139C" w:rsidRPr="00E52E16" w:rsidRDefault="0000139C" w:rsidP="00CF0A4C">
      <w:r>
        <w:t>In 201</w:t>
      </w:r>
      <w:r w:rsidR="00475204">
        <w:t>7</w:t>
      </w:r>
      <w:r>
        <w:t>–1</w:t>
      </w:r>
      <w:r w:rsidR="00475204">
        <w:t>8</w:t>
      </w:r>
      <w:r>
        <w:t xml:space="preserve">, the department will continue to deliver initiatives that will make a difference to Queenslanders </w:t>
      </w:r>
      <w:r w:rsidR="00946879">
        <w:t>through</w:t>
      </w:r>
      <w:r>
        <w:t xml:space="preserve">:  </w:t>
      </w:r>
    </w:p>
    <w:p w14:paraId="0DB1B84E" w14:textId="0FD17B6C" w:rsidR="004616CB" w:rsidRPr="00C650EF" w:rsidRDefault="00894D6F" w:rsidP="00096C6C">
      <w:pPr>
        <w:pStyle w:val="Bullets"/>
        <w:rPr>
          <w:b/>
          <w:bCs/>
        </w:rPr>
      </w:pPr>
      <w:r w:rsidRPr="00D93789">
        <w:t xml:space="preserve">progressing reforms </w:t>
      </w:r>
      <w:r w:rsidR="004616CB">
        <w:t>through</w:t>
      </w:r>
      <w:r w:rsidRPr="00D93789">
        <w:t xml:space="preserve"> the Queensland Building Plan</w:t>
      </w:r>
    </w:p>
    <w:p w14:paraId="4FEF14A2" w14:textId="03B1419B" w:rsidR="00894D6F" w:rsidRPr="00792F33" w:rsidRDefault="00894D6F" w:rsidP="00096C6C">
      <w:pPr>
        <w:pStyle w:val="Bullets"/>
        <w:rPr>
          <w:b/>
          <w:bCs/>
          <w:color w:val="000000" w:themeColor="text1"/>
        </w:rPr>
      </w:pPr>
      <w:r w:rsidRPr="00D93789">
        <w:t xml:space="preserve">implementing </w:t>
      </w:r>
      <w:r w:rsidR="00F434C4">
        <w:t>P</w:t>
      </w:r>
      <w:r w:rsidRPr="00D93789">
        <w:t xml:space="preserve">roject </w:t>
      </w:r>
      <w:r w:rsidR="00F434C4">
        <w:t>B</w:t>
      </w:r>
      <w:r w:rsidRPr="00D93789">
        <w:t xml:space="preserve">ank </w:t>
      </w:r>
      <w:r w:rsidR="00F434C4">
        <w:t>Accounts on g</w:t>
      </w:r>
      <w:r w:rsidRPr="00D93789">
        <w:t xml:space="preserve">overnment building and construction projects from 1 </w:t>
      </w:r>
      <w:r w:rsidRPr="009B5BEB">
        <w:t>January 2018</w:t>
      </w:r>
      <w:r w:rsidR="008503AA">
        <w:t xml:space="preserve"> </w:t>
      </w:r>
      <w:r w:rsidR="008503AA" w:rsidRPr="00792F33">
        <w:rPr>
          <w:rFonts w:eastAsia="Times New Roman"/>
          <w:color w:val="000000" w:themeColor="text1"/>
        </w:rPr>
        <w:t>and preparing for broader introduction from 2019</w:t>
      </w:r>
    </w:p>
    <w:p w14:paraId="21F76C30" w14:textId="7FC8D0FA" w:rsidR="00894D6F" w:rsidRPr="00014586" w:rsidRDefault="00894D6F" w:rsidP="00096C6C">
      <w:pPr>
        <w:pStyle w:val="Bullets"/>
        <w:rPr>
          <w:b/>
          <w:bCs/>
        </w:rPr>
      </w:pPr>
      <w:r>
        <w:t>collaboratively working with the Australian Government, states and territories, industry and relevant regulators to address issues relating to non-conforming building products</w:t>
      </w:r>
      <w:r w:rsidRPr="690957E2">
        <w:t xml:space="preserve"> </w:t>
      </w:r>
    </w:p>
    <w:p w14:paraId="2BFE1F0B" w14:textId="7045DEA9" w:rsidR="00894D6F" w:rsidRDefault="008B7198" w:rsidP="00096C6C">
      <w:pPr>
        <w:pStyle w:val="Bullets"/>
      </w:pPr>
      <w:r>
        <w:t xml:space="preserve">implementing reforms to the </w:t>
      </w:r>
      <w:r w:rsidR="00F434C4">
        <w:t>Prequalification (</w:t>
      </w:r>
      <w:r w:rsidR="00EB410E">
        <w:t>PQC</w:t>
      </w:r>
      <w:r w:rsidR="00F434C4">
        <w:t>)</w:t>
      </w:r>
      <w:r w:rsidR="00EB410E">
        <w:t xml:space="preserve"> system </w:t>
      </w:r>
      <w:r w:rsidR="008230A2">
        <w:t xml:space="preserve">and </w:t>
      </w:r>
      <w:r w:rsidR="00894D6F">
        <w:t>provide industry visibility of a forward pipeline of opportunities</w:t>
      </w:r>
    </w:p>
    <w:p w14:paraId="634C0146" w14:textId="12F2FCFF" w:rsidR="00546D43" w:rsidRDefault="00546D43" w:rsidP="00D675BC">
      <w:pPr>
        <w:pStyle w:val="Bullets"/>
      </w:pPr>
      <w:r>
        <w:t xml:space="preserve">implementing </w:t>
      </w:r>
      <w:r w:rsidR="00F53A20">
        <w:t xml:space="preserve">the </w:t>
      </w:r>
      <w:r w:rsidRPr="007B64A6">
        <w:rPr>
          <w:i/>
        </w:rPr>
        <w:t>Brisbane CBD and Fringe Area Government Office Accommodation Strategy 2015</w:t>
      </w:r>
      <w:r w:rsidR="000C39C3" w:rsidRPr="007B64A6">
        <w:rPr>
          <w:i/>
        </w:rPr>
        <w:t>–</w:t>
      </w:r>
      <w:r w:rsidRPr="007B64A6">
        <w:rPr>
          <w:i/>
        </w:rPr>
        <w:t>2025</w:t>
      </w:r>
      <w:r>
        <w:t xml:space="preserve"> including </w:t>
      </w:r>
      <w:r w:rsidR="00F53A20">
        <w:t xml:space="preserve">a reduction in </w:t>
      </w:r>
      <w:r>
        <w:t xml:space="preserve">the government office portfolio through vacating expiring leases and consolidating where possible the tenancy and space management of the </w:t>
      </w:r>
      <w:r w:rsidR="00F53A20">
        <w:t>G</w:t>
      </w:r>
      <w:r>
        <w:t>overnment’s leased office portfolio</w:t>
      </w:r>
    </w:p>
    <w:p w14:paraId="42A84D17" w14:textId="0EE06FE6" w:rsidR="008201D0" w:rsidRDefault="008201D0" w:rsidP="00E05961">
      <w:pPr>
        <w:pStyle w:val="Bullets"/>
      </w:pPr>
      <w:r>
        <w:t>commencing a targeted four-year capital, maintenance and upgrade program</w:t>
      </w:r>
      <w:r w:rsidR="00F53A20">
        <w:t>,</w:t>
      </w:r>
      <w:r>
        <w:t xml:space="preserve"> to </w:t>
      </w:r>
      <w:r>
        <w:t>deliver safe and secure government employee housing in regional and remote locations across the state, including Aboriginal and Torres Strait Islander communities, thereby enabling police, teachers, medical professionals and associated government employees to deliver critical frontline services to the people of Queensland</w:t>
      </w:r>
    </w:p>
    <w:p w14:paraId="62F73AAA" w14:textId="64AB345D" w:rsidR="005C546C" w:rsidRDefault="005C546C">
      <w:pPr>
        <w:pStyle w:val="Bullets"/>
      </w:pPr>
      <w:r>
        <w:t>d</w:t>
      </w:r>
      <w:r w:rsidRPr="001E254F">
        <w:t xml:space="preserve">elivering </w:t>
      </w:r>
      <w:r>
        <w:t xml:space="preserve">46 new government employee housing residences to support the </w:t>
      </w:r>
      <w:r w:rsidR="00257481">
        <w:t>provision</w:t>
      </w:r>
      <w:r>
        <w:t xml:space="preserve"> of essential government services in </w:t>
      </w:r>
      <w:r w:rsidR="00BF3E05">
        <w:t xml:space="preserve">regional and remote </w:t>
      </w:r>
      <w:r>
        <w:t>areas including Aurukun, Doomadgee, Baralaba, Saibai Island and Winton</w:t>
      </w:r>
    </w:p>
    <w:p w14:paraId="45C3C73C" w14:textId="56DEC7E1" w:rsidR="008201D0" w:rsidRDefault="00853247">
      <w:pPr>
        <w:pStyle w:val="Bullets"/>
      </w:pPr>
      <w:r>
        <w:t>c</w:t>
      </w:r>
      <w:r w:rsidR="008201D0">
        <w:t>ontinuing to implement a new regional tenancy management model that better supports leasing agencies and government employee tenants to initiate and manage the practical and legislative aspects of their tenancy, such as lease documentation and entry/exit condition assessments</w:t>
      </w:r>
      <w:r w:rsidR="000575D1" w:rsidRPr="690957E2">
        <w:t>.</w:t>
      </w:r>
      <w:r w:rsidR="00F53A20">
        <w:br w:type="column"/>
      </w:r>
    </w:p>
    <w:p w14:paraId="553BBC14" w14:textId="77777777" w:rsidR="00CE7FB4" w:rsidRDefault="00CE7FB4">
      <w:pPr>
        <w:pStyle w:val="Bullets"/>
        <w:sectPr w:rsidR="00CE7FB4" w:rsidSect="00CE7FB4">
          <w:type w:val="continuous"/>
          <w:pgSz w:w="11906" w:h="16838"/>
          <w:pgMar w:top="1440" w:right="1021" w:bottom="1440" w:left="1021" w:header="709" w:footer="709" w:gutter="0"/>
          <w:cols w:num="2" w:space="397"/>
          <w:docGrid w:linePitch="360"/>
        </w:sectPr>
      </w:pPr>
    </w:p>
    <w:p w14:paraId="61427E83" w14:textId="31AE9E6D" w:rsidR="005C5EE3" w:rsidRPr="00792F33" w:rsidRDefault="00352DBD" w:rsidP="00792F33">
      <w:pPr>
        <w:pStyle w:val="Heading3"/>
      </w:pPr>
      <w:r w:rsidRPr="00792F33">
        <w:t>S</w:t>
      </w:r>
      <w:r w:rsidR="005C5EE3" w:rsidRPr="00792F33">
        <w:t>ervice Standards</w:t>
      </w:r>
      <w:r w:rsidR="00FA69D6" w:rsidRPr="00792F33">
        <w:t xml:space="preserve"> – Our Results for 2016–17</w:t>
      </w:r>
    </w:p>
    <w:tbl>
      <w:tblPr>
        <w:tblW w:w="9897" w:type="dxa"/>
        <w:tblInd w:w="-5" w:type="dxa"/>
        <w:tblBorders>
          <w:top w:val="single" w:sz="4" w:space="0" w:color="1C6194" w:themeColor="accent6" w:themeShade="BF"/>
          <w:left w:val="single" w:sz="4" w:space="0" w:color="1C6194" w:themeColor="accent6" w:themeShade="BF"/>
          <w:bottom w:val="single" w:sz="4" w:space="0" w:color="1C6194" w:themeColor="accent6" w:themeShade="BF"/>
          <w:right w:val="single" w:sz="4" w:space="0" w:color="1C6194" w:themeColor="accent6" w:themeShade="BF"/>
          <w:insideH w:val="single" w:sz="4" w:space="0" w:color="1C6194" w:themeColor="accent6" w:themeShade="BF"/>
          <w:insideV w:val="single" w:sz="4" w:space="0" w:color="1C6194" w:themeColor="accent6" w:themeShade="BF"/>
        </w:tblBorders>
        <w:tblLayout w:type="fixed"/>
        <w:tblLook w:val="01E0" w:firstRow="1" w:lastRow="1" w:firstColumn="1" w:lastColumn="1" w:noHBand="0" w:noVBand="0"/>
      </w:tblPr>
      <w:tblGrid>
        <w:gridCol w:w="7461"/>
        <w:gridCol w:w="1186"/>
        <w:gridCol w:w="1250"/>
      </w:tblGrid>
      <w:tr w:rsidR="00DA6B9A" w:rsidRPr="00DA6B9A" w14:paraId="030297E3" w14:textId="77777777" w:rsidTr="00792F33">
        <w:trPr>
          <w:tblHeader/>
        </w:trPr>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14:paraId="4EFC4733" w14:textId="4CD786E6" w:rsidR="009052FB" w:rsidRPr="00DA6B9A" w:rsidRDefault="005E531F" w:rsidP="00CF0A4C">
            <w:pPr>
              <w:pStyle w:val="TableTextHeading"/>
            </w:pPr>
            <w:r>
              <w:t>Government Accommodation and Building Policy Services</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3871FBD3" w14:textId="0AF1478C" w:rsidR="009052FB" w:rsidRPr="00DA6B9A" w:rsidRDefault="000C39C3" w:rsidP="00CF0A4C">
            <w:pPr>
              <w:pStyle w:val="TableTextHeading"/>
            </w:pPr>
            <w:r>
              <w:t>2016–17</w:t>
            </w:r>
          </w:p>
          <w:p w14:paraId="07D6925E" w14:textId="77777777" w:rsidR="009052FB" w:rsidRPr="00DA6B9A" w:rsidRDefault="009052FB" w:rsidP="00CF0A4C">
            <w:pPr>
              <w:pStyle w:val="TableTextHeading"/>
            </w:pPr>
            <w:r w:rsidRPr="00DA6B9A">
              <w:t>Target/Est.</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4DB9C2EA" w14:textId="49BEC471" w:rsidR="009052FB" w:rsidRPr="00DA6B9A" w:rsidRDefault="000C39C3" w:rsidP="00CF0A4C">
            <w:pPr>
              <w:pStyle w:val="TableTextHeading"/>
            </w:pPr>
            <w:r>
              <w:t>2016–17</w:t>
            </w:r>
          </w:p>
          <w:p w14:paraId="6A776FA2" w14:textId="77777777" w:rsidR="009052FB" w:rsidRPr="00DA6B9A" w:rsidRDefault="009052FB" w:rsidP="00CF0A4C">
            <w:pPr>
              <w:pStyle w:val="TableTextHeading"/>
            </w:pPr>
            <w:r w:rsidRPr="00DA6B9A">
              <w:t>Actual</w:t>
            </w:r>
          </w:p>
        </w:tc>
      </w:tr>
      <w:tr w:rsidR="009052FB" w:rsidRPr="00246DD9" w14:paraId="683B70EA" w14:textId="77777777" w:rsidTr="00792F33">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26C6C3C" w14:textId="42D8FEEE" w:rsidR="009052FB" w:rsidRPr="006E3426" w:rsidRDefault="009052FB" w:rsidP="00CF0A4C">
            <w:pPr>
              <w:pStyle w:val="TableTextBold"/>
            </w:pPr>
            <w:r>
              <w:t>Effectiveness measures</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9628FF" w14:textId="77777777" w:rsidR="009052FB" w:rsidRPr="00994A8B" w:rsidRDefault="009052FB" w:rsidP="00CF0A4C">
            <w:pPr>
              <w:pStyle w:val="TableTextRight"/>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9AF617A" w14:textId="77777777" w:rsidR="009052FB" w:rsidRDefault="009052FB" w:rsidP="00CF0A4C">
            <w:pPr>
              <w:pStyle w:val="TableTextRight"/>
            </w:pPr>
          </w:p>
        </w:tc>
      </w:tr>
      <w:tr w:rsidR="009052FB" w:rsidRPr="00246DD9" w14:paraId="5AB35F1C" w14:textId="77777777" w:rsidTr="00792F33">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42A9E46" w14:textId="4A23E4F4" w:rsidR="009052FB" w:rsidRPr="00455FE3" w:rsidRDefault="005E531F" w:rsidP="00D675BC">
            <w:pPr>
              <w:pStyle w:val="TableTextBold"/>
              <w:rPr>
                <w:sz w:val="22"/>
                <w:szCs w:val="22"/>
              </w:rPr>
            </w:pPr>
            <w:r w:rsidRPr="00455FE3">
              <w:rPr>
                <w:sz w:val="22"/>
                <w:szCs w:val="22"/>
              </w:rPr>
              <w:t xml:space="preserve">Return on investment - </w:t>
            </w:r>
            <w:r w:rsidR="009052FB" w:rsidRPr="00455FE3">
              <w:rPr>
                <w:sz w:val="22"/>
                <w:szCs w:val="22"/>
              </w:rPr>
              <w:t>commercial properties included in the office portfolio</w:t>
            </w:r>
          </w:p>
          <w:p w14:paraId="1DCCD211" w14:textId="29A8E491" w:rsidR="009052FB" w:rsidRPr="00455FE3" w:rsidRDefault="009052FB" w:rsidP="000942B7">
            <w:pPr>
              <w:pStyle w:val="TableText"/>
              <w:ind w:left="357"/>
              <w:rPr>
                <w:sz w:val="22"/>
                <w:szCs w:val="22"/>
              </w:rPr>
            </w:pPr>
            <w:r w:rsidRPr="00455FE3">
              <w:rPr>
                <w:sz w:val="22"/>
                <w:szCs w:val="22"/>
              </w:rPr>
              <w:t xml:space="preserve">The purpose of this service standard is to measure the return to government on the level of assets employed/owned by the department for the provision of office accommodation. Variance between </w:t>
            </w:r>
            <w:r w:rsidR="000C39C3" w:rsidRPr="00455FE3">
              <w:rPr>
                <w:sz w:val="22"/>
                <w:szCs w:val="22"/>
              </w:rPr>
              <w:t>2016–17</w:t>
            </w:r>
            <w:r w:rsidRPr="00455FE3">
              <w:rPr>
                <w:sz w:val="22"/>
                <w:szCs w:val="22"/>
              </w:rPr>
              <w:t xml:space="preserve"> target/estimate and </w:t>
            </w:r>
            <w:r w:rsidR="000C39C3" w:rsidRPr="00455FE3">
              <w:rPr>
                <w:sz w:val="22"/>
                <w:szCs w:val="22"/>
              </w:rPr>
              <w:t>2016–17</w:t>
            </w:r>
            <w:r w:rsidRPr="00455FE3">
              <w:rPr>
                <w:sz w:val="22"/>
                <w:szCs w:val="22"/>
              </w:rPr>
              <w:t xml:space="preserve"> actual is due to normal fluctuations in gross rental income and property valuations, resulting in the commercial property portfolio's net return on investment exceeding the benchmark target and continuing to track private sector investment performance measures.</w:t>
            </w:r>
            <w:r w:rsidRPr="00455FE3" w:rsidDel="00B51951">
              <w:rPr>
                <w:sz w:val="22"/>
                <w:szCs w:val="22"/>
              </w:rPr>
              <w:t xml:space="preserve"> </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22326" w14:textId="77777777" w:rsidR="009052FB" w:rsidRPr="00455FE3" w:rsidRDefault="009052FB" w:rsidP="00CF0A4C">
            <w:pPr>
              <w:pStyle w:val="TableTextRight"/>
              <w:rPr>
                <w:sz w:val="22"/>
              </w:rPr>
            </w:pPr>
            <w:r w:rsidRPr="00455FE3">
              <w:rPr>
                <w:sz w:val="22"/>
              </w:rPr>
              <w:t>≥6.5%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B0ECC" w14:textId="50C859B7" w:rsidR="009052FB" w:rsidRPr="00455FE3" w:rsidRDefault="00A923B6" w:rsidP="00CF0A4C">
            <w:pPr>
              <w:pStyle w:val="TableTextRight"/>
              <w:rPr>
                <w:sz w:val="22"/>
              </w:rPr>
            </w:pPr>
            <w:r w:rsidRPr="00455FE3">
              <w:rPr>
                <w:sz w:val="22"/>
              </w:rPr>
              <w:t>6</w:t>
            </w:r>
            <w:r w:rsidR="1DBE0097" w:rsidRPr="00455FE3">
              <w:rPr>
                <w:sz w:val="22"/>
              </w:rPr>
              <w:t>.9</w:t>
            </w:r>
            <w:r w:rsidR="009052FB" w:rsidRPr="00455FE3">
              <w:rPr>
                <w:sz w:val="22"/>
              </w:rPr>
              <w:t>%</w:t>
            </w:r>
          </w:p>
        </w:tc>
      </w:tr>
      <w:tr w:rsidR="009052FB" w:rsidRPr="00246DD9" w14:paraId="204C3580" w14:textId="77777777" w:rsidTr="00792F33">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61565EC" w14:textId="4784DF0C" w:rsidR="009052FB" w:rsidRPr="00455FE3" w:rsidRDefault="005E531F" w:rsidP="00D675BC">
            <w:pPr>
              <w:pStyle w:val="Tabletextindent"/>
              <w:ind w:left="0"/>
              <w:rPr>
                <w:rStyle w:val="Bold"/>
                <w:sz w:val="22"/>
                <w:szCs w:val="22"/>
              </w:rPr>
            </w:pPr>
            <w:r w:rsidRPr="00455FE3">
              <w:rPr>
                <w:rStyle w:val="Bold"/>
                <w:sz w:val="22"/>
                <w:szCs w:val="22"/>
              </w:rPr>
              <w:t xml:space="preserve">Return on investment - </w:t>
            </w:r>
            <w:r w:rsidR="009052FB" w:rsidRPr="00455FE3">
              <w:rPr>
                <w:rStyle w:val="Bold"/>
                <w:sz w:val="22"/>
                <w:szCs w:val="22"/>
              </w:rPr>
              <w:t>government employee housing</w:t>
            </w:r>
          </w:p>
          <w:p w14:paraId="2E548C17" w14:textId="634788FB" w:rsidR="009052FB" w:rsidRPr="00455FE3" w:rsidRDefault="009052FB" w:rsidP="000942B7">
            <w:pPr>
              <w:pStyle w:val="TableText"/>
              <w:ind w:left="357"/>
              <w:rPr>
                <w:rStyle w:val="Bold"/>
                <w:rFonts w:ascii="Arial Narrow" w:hAnsi="Arial Narrow"/>
                <w:b w:val="0"/>
                <w:i/>
                <w:sz w:val="22"/>
                <w:szCs w:val="22"/>
              </w:rPr>
            </w:pPr>
            <w:r w:rsidRPr="00455FE3">
              <w:rPr>
                <w:sz w:val="22"/>
                <w:szCs w:val="22"/>
              </w:rPr>
              <w:t xml:space="preserve">The purpose of this service standard is to measure the return to government on the level of assets employed/owned by the department for the provision of accommodation to government employees. </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0EB7F" w14:textId="77777777" w:rsidR="009052FB" w:rsidRPr="00455FE3" w:rsidRDefault="009052FB" w:rsidP="00CF0A4C">
            <w:pPr>
              <w:pStyle w:val="TableTextRight"/>
              <w:rPr>
                <w:sz w:val="22"/>
              </w:rPr>
            </w:pPr>
            <w:r w:rsidRPr="00455FE3">
              <w:rPr>
                <w:sz w:val="22"/>
              </w:rPr>
              <w:t>≥1.5%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726E6" w14:textId="294DB2E0" w:rsidR="009052FB" w:rsidRPr="00455FE3" w:rsidRDefault="00853247" w:rsidP="00CF0A4C">
            <w:pPr>
              <w:pStyle w:val="TableTextRight"/>
              <w:rPr>
                <w:sz w:val="22"/>
              </w:rPr>
            </w:pPr>
            <w:r w:rsidRPr="00455FE3">
              <w:rPr>
                <w:sz w:val="22"/>
              </w:rPr>
              <w:t>2.06</w:t>
            </w:r>
            <w:r w:rsidR="009052FB" w:rsidRPr="00455FE3">
              <w:rPr>
                <w:sz w:val="22"/>
              </w:rPr>
              <w:t>%</w:t>
            </w:r>
          </w:p>
        </w:tc>
      </w:tr>
      <w:tr w:rsidR="009052FB" w:rsidRPr="00246DD9" w14:paraId="4D2696AC" w14:textId="77777777" w:rsidTr="00792F33">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95F79CB" w14:textId="54F24946" w:rsidR="009052FB" w:rsidRPr="00455FE3" w:rsidRDefault="005E531F" w:rsidP="00D675BC">
            <w:pPr>
              <w:pStyle w:val="Tabletextindent"/>
              <w:ind w:left="0"/>
              <w:rPr>
                <w:b/>
                <w:sz w:val="22"/>
                <w:szCs w:val="22"/>
              </w:rPr>
            </w:pPr>
            <w:r w:rsidRPr="00455FE3">
              <w:rPr>
                <w:b/>
                <w:sz w:val="22"/>
                <w:szCs w:val="22"/>
              </w:rPr>
              <w:t xml:space="preserve">Vacancy rate - </w:t>
            </w:r>
            <w:r w:rsidR="009052FB" w:rsidRPr="00455FE3">
              <w:rPr>
                <w:b/>
                <w:sz w:val="22"/>
                <w:szCs w:val="22"/>
              </w:rPr>
              <w:t>office portfolio</w:t>
            </w:r>
          </w:p>
          <w:p w14:paraId="5D45C9EB" w14:textId="5207618D" w:rsidR="009052FB" w:rsidRPr="00455FE3" w:rsidRDefault="009052FB" w:rsidP="001F520A">
            <w:pPr>
              <w:pStyle w:val="TableText"/>
              <w:ind w:left="357"/>
              <w:rPr>
                <w:sz w:val="22"/>
                <w:szCs w:val="22"/>
              </w:rPr>
            </w:pPr>
            <w:r w:rsidRPr="00455FE3">
              <w:rPr>
                <w:sz w:val="22"/>
                <w:szCs w:val="22"/>
              </w:rPr>
              <w:t xml:space="preserve">The purpose of this service standard is to assess the rate of vacancy within the office accommodation portfolio. The data is used as an indicator of the effectiveness of the service area's ability to strategically manage its leased and owned portfolios. </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3C102" w14:textId="77777777" w:rsidR="009052FB" w:rsidRPr="00455FE3" w:rsidRDefault="009052FB" w:rsidP="00CF0A4C">
            <w:pPr>
              <w:pStyle w:val="TableTextRight"/>
              <w:rPr>
                <w:sz w:val="22"/>
              </w:rPr>
            </w:pPr>
            <w:r w:rsidRPr="00455FE3">
              <w:rPr>
                <w:sz w:val="22"/>
              </w:rPr>
              <w:t>≤4%</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04AE9" w14:textId="24D411B2" w:rsidR="009052FB" w:rsidRPr="00455FE3" w:rsidRDefault="009052FB" w:rsidP="00CF0A4C">
            <w:pPr>
              <w:pStyle w:val="TableTextRight"/>
              <w:rPr>
                <w:sz w:val="22"/>
              </w:rPr>
            </w:pPr>
            <w:r w:rsidRPr="00455FE3">
              <w:rPr>
                <w:sz w:val="22"/>
              </w:rPr>
              <w:t>1.</w:t>
            </w:r>
            <w:r w:rsidR="00E95D98" w:rsidRPr="00455FE3">
              <w:rPr>
                <w:sz w:val="22"/>
              </w:rPr>
              <w:t>07</w:t>
            </w:r>
            <w:r w:rsidRPr="00455FE3">
              <w:rPr>
                <w:sz w:val="22"/>
              </w:rPr>
              <w:t>%</w:t>
            </w:r>
          </w:p>
        </w:tc>
      </w:tr>
      <w:tr w:rsidR="009052FB" w:rsidRPr="00246DD9" w14:paraId="2466008B" w14:textId="77777777" w:rsidTr="00792F33">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8319F31" w14:textId="68F444E0" w:rsidR="009052FB" w:rsidRPr="00455FE3" w:rsidRDefault="005E531F" w:rsidP="00D675BC">
            <w:pPr>
              <w:pStyle w:val="Tabletextindent"/>
              <w:ind w:left="0"/>
              <w:rPr>
                <w:b/>
                <w:sz w:val="22"/>
                <w:szCs w:val="22"/>
              </w:rPr>
            </w:pPr>
            <w:r w:rsidRPr="00455FE3">
              <w:rPr>
                <w:b/>
                <w:sz w:val="22"/>
                <w:szCs w:val="22"/>
              </w:rPr>
              <w:t xml:space="preserve">Vacancy rate - </w:t>
            </w:r>
            <w:r w:rsidR="009052FB" w:rsidRPr="00455FE3">
              <w:rPr>
                <w:b/>
                <w:sz w:val="22"/>
                <w:szCs w:val="22"/>
              </w:rPr>
              <w:t>government employee housing</w:t>
            </w:r>
          </w:p>
          <w:p w14:paraId="5C6F3001" w14:textId="391EE97B" w:rsidR="009052FB" w:rsidRPr="00455FE3" w:rsidRDefault="009052FB" w:rsidP="000942B7">
            <w:pPr>
              <w:pStyle w:val="TableText"/>
              <w:ind w:left="357"/>
              <w:rPr>
                <w:sz w:val="22"/>
                <w:szCs w:val="22"/>
              </w:rPr>
            </w:pPr>
            <w:r w:rsidRPr="00455FE3">
              <w:rPr>
                <w:sz w:val="22"/>
                <w:szCs w:val="22"/>
              </w:rPr>
              <w:t xml:space="preserve">The purpose of this service standard is to assess the rate of vacancy within the government employee housing portfolio. The data is used as an indicator of the effectiveness of the service area's ability to strategically manage its leased and owned portfolios. Variance between </w:t>
            </w:r>
            <w:r w:rsidR="000C39C3" w:rsidRPr="00455FE3">
              <w:rPr>
                <w:sz w:val="22"/>
                <w:szCs w:val="22"/>
              </w:rPr>
              <w:t>2016–17</w:t>
            </w:r>
            <w:r w:rsidRPr="00455FE3">
              <w:rPr>
                <w:sz w:val="22"/>
                <w:szCs w:val="22"/>
              </w:rPr>
              <w:t xml:space="preserve"> target/estimate and </w:t>
            </w:r>
            <w:r w:rsidR="000C39C3" w:rsidRPr="00455FE3">
              <w:rPr>
                <w:sz w:val="22"/>
                <w:szCs w:val="22"/>
              </w:rPr>
              <w:t>2016–17</w:t>
            </w:r>
            <w:r w:rsidRPr="00455FE3">
              <w:rPr>
                <w:sz w:val="22"/>
                <w:szCs w:val="22"/>
              </w:rPr>
              <w:t xml:space="preserve"> actual is due to the downturn in occupancy in the mining sector that is impacting rental returns and vacancy rates resulting in agencies reducing requirements for employee housing in these locations. A large portion of the government employee housing portfolio is located in these areas, with the current average vacancy rate of around 6%. Although the department is continuing to adopt strategies to minimise vacancy rates, the factors affecting the </w:t>
            </w:r>
            <w:r w:rsidR="000C39C3" w:rsidRPr="00455FE3">
              <w:rPr>
                <w:sz w:val="22"/>
                <w:szCs w:val="22"/>
              </w:rPr>
              <w:t>2016–17</w:t>
            </w:r>
            <w:r w:rsidRPr="00455FE3">
              <w:rPr>
                <w:sz w:val="22"/>
                <w:szCs w:val="22"/>
              </w:rPr>
              <w:t xml:space="preserve"> performance are likely to continue through </w:t>
            </w:r>
            <w:r w:rsidR="000C39C3" w:rsidRPr="00455FE3">
              <w:rPr>
                <w:sz w:val="22"/>
                <w:szCs w:val="22"/>
              </w:rPr>
              <w:t>2017–18</w:t>
            </w:r>
            <w:r w:rsidRPr="00455FE3">
              <w:rPr>
                <w:sz w:val="22"/>
                <w:szCs w:val="22"/>
              </w:rPr>
              <w:t>, with expected continuation of highly competitive rental markets and some decline in rent revenues due to increased vacancies.</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D413D" w14:textId="77777777" w:rsidR="009052FB" w:rsidRPr="00455FE3" w:rsidRDefault="009052FB" w:rsidP="00CF0A4C">
            <w:pPr>
              <w:pStyle w:val="TableTextRight"/>
              <w:rPr>
                <w:sz w:val="22"/>
              </w:rPr>
            </w:pPr>
            <w:r w:rsidRPr="00455FE3">
              <w:rPr>
                <w:sz w:val="22"/>
              </w:rPr>
              <w:t>≤5%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C9B13" w14:textId="7C1E5F31" w:rsidR="009052FB" w:rsidRPr="00455FE3" w:rsidRDefault="00853247" w:rsidP="00CF0A4C">
            <w:pPr>
              <w:pStyle w:val="TableTextRight"/>
              <w:rPr>
                <w:sz w:val="22"/>
              </w:rPr>
            </w:pPr>
            <w:r w:rsidRPr="00455FE3">
              <w:rPr>
                <w:sz w:val="22"/>
              </w:rPr>
              <w:t>5.75</w:t>
            </w:r>
            <w:r w:rsidR="009052FB" w:rsidRPr="00455FE3">
              <w:rPr>
                <w:sz w:val="22"/>
              </w:rPr>
              <w:t>%</w:t>
            </w:r>
          </w:p>
        </w:tc>
      </w:tr>
      <w:tr w:rsidR="009052FB" w:rsidRPr="00246DD9" w14:paraId="0E5D6423" w14:textId="77777777" w:rsidTr="00792F33">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56D1127" w14:textId="067C4790" w:rsidR="009052FB" w:rsidRPr="00455FE3" w:rsidRDefault="009052FB" w:rsidP="00CF0A4C">
            <w:pPr>
              <w:pStyle w:val="TableTextBold"/>
              <w:rPr>
                <w:sz w:val="22"/>
              </w:rPr>
            </w:pPr>
            <w:r w:rsidRPr="00455FE3">
              <w:rPr>
                <w:sz w:val="22"/>
              </w:rPr>
              <w:t>Efficiency measures</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AC44BD1" w14:textId="77777777" w:rsidR="009052FB" w:rsidRPr="00455FE3" w:rsidRDefault="009052FB" w:rsidP="00CF0A4C">
            <w:pPr>
              <w:pStyle w:val="TableTextRight"/>
              <w:rPr>
                <w:sz w:val="22"/>
              </w:rPr>
            </w:pP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79D734F" w14:textId="77777777" w:rsidR="009052FB" w:rsidRPr="00455FE3" w:rsidRDefault="009052FB" w:rsidP="00CF0A4C">
            <w:pPr>
              <w:pStyle w:val="TableTextRight"/>
              <w:rPr>
                <w:sz w:val="22"/>
              </w:rPr>
            </w:pPr>
          </w:p>
        </w:tc>
      </w:tr>
      <w:tr w:rsidR="009052FB" w:rsidRPr="00246DD9" w14:paraId="106755A4" w14:textId="77777777" w:rsidTr="00792F33">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31683F5" w14:textId="4097515E" w:rsidR="009052FB" w:rsidRPr="00455FE3" w:rsidRDefault="005E531F" w:rsidP="00D675BC">
            <w:pPr>
              <w:pStyle w:val="Tabletextindent"/>
              <w:ind w:left="0"/>
              <w:rPr>
                <w:b/>
                <w:sz w:val="22"/>
              </w:rPr>
            </w:pPr>
            <w:r w:rsidRPr="00455FE3">
              <w:rPr>
                <w:b/>
                <w:sz w:val="22"/>
              </w:rPr>
              <w:t xml:space="preserve">Work point density - </w:t>
            </w:r>
            <w:r w:rsidR="009052FB" w:rsidRPr="00455FE3">
              <w:rPr>
                <w:b/>
                <w:sz w:val="22"/>
              </w:rPr>
              <w:t xml:space="preserve">average </w:t>
            </w:r>
          </w:p>
          <w:p w14:paraId="73B29FFB" w14:textId="3C10C1B8" w:rsidR="009052FB" w:rsidRPr="00455FE3" w:rsidRDefault="009052FB" w:rsidP="00A5281F">
            <w:pPr>
              <w:pStyle w:val="TableText"/>
              <w:ind w:left="357"/>
              <w:rPr>
                <w:sz w:val="22"/>
              </w:rPr>
            </w:pPr>
            <w:r w:rsidRPr="00455FE3">
              <w:rPr>
                <w:sz w:val="22"/>
                <w:szCs w:val="14"/>
              </w:rPr>
              <w:lastRenderedPageBreak/>
              <w:t xml:space="preserve">The purpose of this service standard is to determine the level of work point density for government offices. </w:t>
            </w:r>
            <w:r w:rsidR="36D36F4F" w:rsidRPr="00455FE3">
              <w:rPr>
                <w:sz w:val="22"/>
                <w:szCs w:val="14"/>
              </w:rPr>
              <w:t>This area excludes s</w:t>
            </w:r>
            <w:r w:rsidR="5A5EC99E" w:rsidRPr="00455FE3">
              <w:rPr>
                <w:sz w:val="22"/>
                <w:szCs w:val="14"/>
              </w:rPr>
              <w:t>pecial purpose areas such as conference room facilities.</w:t>
            </w:r>
            <w:r w:rsidR="5A5EC99E" w:rsidRPr="00455FE3">
              <w:rPr>
                <w:sz w:val="22"/>
              </w:rPr>
              <w:t xml:space="preserve"> </w:t>
            </w:r>
          </w:p>
          <w:p w14:paraId="1771E48C" w14:textId="2B135DB8" w:rsidR="009052FB" w:rsidRPr="00455FE3" w:rsidRDefault="009052FB" w:rsidP="00CF0A4C">
            <w:pPr>
              <w:pStyle w:val="TableText"/>
              <w:rPr>
                <w:sz w:val="22"/>
              </w:rPr>
            </w:pP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298EF" w14:textId="77777777" w:rsidR="009052FB" w:rsidRPr="00455FE3" w:rsidRDefault="009052FB" w:rsidP="00A5281F">
            <w:pPr>
              <w:pStyle w:val="TableTextRight"/>
              <w:rPr>
                <w:sz w:val="22"/>
              </w:rPr>
            </w:pPr>
            <w:r w:rsidRPr="00455FE3">
              <w:rPr>
                <w:sz w:val="22"/>
              </w:rPr>
              <w:lastRenderedPageBreak/>
              <w:t>13.5m² per</w:t>
            </w:r>
          </w:p>
          <w:p w14:paraId="5741B1CF" w14:textId="77777777" w:rsidR="009052FB" w:rsidRPr="00455FE3" w:rsidRDefault="009052FB" w:rsidP="00A5281F">
            <w:pPr>
              <w:pStyle w:val="TableTextRight"/>
              <w:rPr>
                <w:sz w:val="22"/>
              </w:rPr>
            </w:pPr>
            <w:r w:rsidRPr="00455FE3">
              <w:rPr>
                <w:sz w:val="22"/>
              </w:rPr>
              <w:lastRenderedPageBreak/>
              <w:t>person</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D1033" w14:textId="20FF3157" w:rsidR="009052FB" w:rsidRPr="00455FE3" w:rsidRDefault="009052FB" w:rsidP="00A5281F">
            <w:pPr>
              <w:pStyle w:val="TableTextRight"/>
              <w:rPr>
                <w:sz w:val="22"/>
              </w:rPr>
            </w:pPr>
            <w:r w:rsidRPr="00455FE3">
              <w:rPr>
                <w:sz w:val="22"/>
              </w:rPr>
              <w:lastRenderedPageBreak/>
              <w:t>1</w:t>
            </w:r>
            <w:r w:rsidR="779EC76D" w:rsidRPr="00455FE3">
              <w:rPr>
                <w:sz w:val="22"/>
              </w:rPr>
              <w:t>3.5</w:t>
            </w:r>
            <w:r w:rsidRPr="00455FE3">
              <w:rPr>
                <w:sz w:val="22"/>
              </w:rPr>
              <w:t>m² per</w:t>
            </w:r>
          </w:p>
          <w:p w14:paraId="0E4F39C1" w14:textId="48836824" w:rsidR="009052FB" w:rsidRPr="00455FE3" w:rsidRDefault="009052FB" w:rsidP="00A5281F">
            <w:pPr>
              <w:pStyle w:val="TableTextRight"/>
              <w:rPr>
                <w:sz w:val="22"/>
              </w:rPr>
            </w:pPr>
            <w:r w:rsidRPr="00455FE3">
              <w:rPr>
                <w:sz w:val="22"/>
              </w:rPr>
              <w:lastRenderedPageBreak/>
              <w:t>person</w:t>
            </w:r>
          </w:p>
        </w:tc>
      </w:tr>
      <w:tr w:rsidR="009052FB" w:rsidRPr="00246DD9" w14:paraId="3C3A7D28" w14:textId="77777777" w:rsidTr="00792F33">
        <w:tc>
          <w:tcPr>
            <w:tcW w:w="74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35B0B3" w14:textId="5946D253" w:rsidR="009052FB" w:rsidRPr="00455FE3" w:rsidRDefault="005E531F" w:rsidP="00D675BC">
            <w:pPr>
              <w:pStyle w:val="Tabletextindent"/>
              <w:rPr>
                <w:b/>
                <w:sz w:val="22"/>
              </w:rPr>
            </w:pPr>
            <w:r w:rsidRPr="00455FE3">
              <w:rPr>
                <w:b/>
                <w:sz w:val="22"/>
              </w:rPr>
              <w:lastRenderedPageBreak/>
              <w:t xml:space="preserve">Work point density - </w:t>
            </w:r>
            <w:r w:rsidR="009052FB" w:rsidRPr="00455FE3">
              <w:rPr>
                <w:b/>
                <w:sz w:val="22"/>
              </w:rPr>
              <w:t xml:space="preserve">new fitout </w:t>
            </w:r>
          </w:p>
          <w:p w14:paraId="674D34B7" w14:textId="2574E89F" w:rsidR="009052FB" w:rsidRPr="00455FE3" w:rsidRDefault="009052FB" w:rsidP="000942B7">
            <w:pPr>
              <w:pStyle w:val="TableText"/>
              <w:ind w:left="357"/>
              <w:rPr>
                <w:sz w:val="22"/>
              </w:rPr>
            </w:pPr>
            <w:r w:rsidRPr="00455FE3">
              <w:rPr>
                <w:sz w:val="22"/>
                <w:szCs w:val="14"/>
              </w:rPr>
              <w:t>The purpose of this service standard is to determine the average level of utilisation to be implemented for new government office fitouts. Special purpose areas such as customer services centres a</w:t>
            </w:r>
            <w:r w:rsidR="42B2E25F" w:rsidRPr="00455FE3">
              <w:rPr>
                <w:sz w:val="22"/>
                <w:szCs w:val="14"/>
              </w:rPr>
              <w:t>nd conference room facilities a</w:t>
            </w:r>
            <w:r w:rsidR="328FB401" w:rsidRPr="00455FE3">
              <w:rPr>
                <w:sz w:val="22"/>
                <w:szCs w:val="14"/>
              </w:rPr>
              <w:t>re</w:t>
            </w:r>
            <w:r w:rsidRPr="00455FE3">
              <w:rPr>
                <w:sz w:val="22"/>
                <w:szCs w:val="14"/>
              </w:rPr>
              <w:t xml:space="preserve"> excluded from this calculation.</w:t>
            </w:r>
            <w:r w:rsidR="00A923B6" w:rsidRPr="00455FE3">
              <w:rPr>
                <w:sz w:val="22"/>
                <w:szCs w:val="14"/>
              </w:rPr>
              <w:t xml:space="preserve"> The variance between the target and actual is due to using existing built areas in some new fitouts and the inclusion of non-standard office facilities in other fitout</w:t>
            </w:r>
            <w:r w:rsidR="328FB401" w:rsidRPr="00455FE3">
              <w:rPr>
                <w:sz w:val="22"/>
                <w:szCs w:val="14"/>
              </w:rPr>
              <w:t>s</w:t>
            </w:r>
            <w:r w:rsidR="00A923B6" w:rsidRPr="00455FE3">
              <w:rPr>
                <w:sz w:val="22"/>
                <w:szCs w:val="14"/>
              </w:rPr>
              <w:t>.</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93D63" w14:textId="77777777" w:rsidR="009052FB" w:rsidRPr="00455FE3" w:rsidRDefault="009052FB" w:rsidP="00A5281F">
            <w:pPr>
              <w:pStyle w:val="TableTextRight"/>
              <w:rPr>
                <w:sz w:val="22"/>
              </w:rPr>
            </w:pPr>
            <w:r w:rsidRPr="00455FE3">
              <w:rPr>
                <w:sz w:val="22"/>
              </w:rPr>
              <w:t>12m² per</w:t>
            </w:r>
          </w:p>
          <w:p w14:paraId="7AE4E623" w14:textId="77777777" w:rsidR="009052FB" w:rsidRPr="00455FE3" w:rsidRDefault="009052FB" w:rsidP="00A5281F">
            <w:pPr>
              <w:pStyle w:val="TableTextRight"/>
              <w:rPr>
                <w:sz w:val="22"/>
              </w:rPr>
            </w:pPr>
            <w:r w:rsidRPr="00455FE3">
              <w:rPr>
                <w:sz w:val="22"/>
              </w:rPr>
              <w:t>person</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A18E3" w14:textId="297367F9" w:rsidR="009052FB" w:rsidRPr="00455FE3" w:rsidRDefault="009052FB" w:rsidP="00A5281F">
            <w:pPr>
              <w:pStyle w:val="TableTextRight"/>
              <w:rPr>
                <w:sz w:val="22"/>
              </w:rPr>
            </w:pPr>
            <w:r w:rsidRPr="00455FE3">
              <w:rPr>
                <w:sz w:val="22"/>
              </w:rPr>
              <w:t>12.</w:t>
            </w:r>
            <w:r w:rsidR="00E95D98" w:rsidRPr="00455FE3">
              <w:rPr>
                <w:sz w:val="22"/>
              </w:rPr>
              <w:t>6</w:t>
            </w:r>
            <w:r w:rsidRPr="00455FE3">
              <w:rPr>
                <w:sz w:val="22"/>
              </w:rPr>
              <w:t>m² per</w:t>
            </w:r>
          </w:p>
          <w:p w14:paraId="3A5DD17D" w14:textId="4789AA3C" w:rsidR="009052FB" w:rsidRPr="00455FE3" w:rsidRDefault="009052FB" w:rsidP="00A5281F">
            <w:pPr>
              <w:pStyle w:val="TableTextRight"/>
              <w:rPr>
                <w:sz w:val="22"/>
              </w:rPr>
            </w:pPr>
            <w:r w:rsidRPr="00455FE3">
              <w:rPr>
                <w:sz w:val="22"/>
              </w:rPr>
              <w:t>person</w:t>
            </w:r>
          </w:p>
        </w:tc>
      </w:tr>
    </w:tbl>
    <w:p w14:paraId="13F32964" w14:textId="77777777" w:rsidR="00D65322" w:rsidRPr="008466C2" w:rsidRDefault="00D65322" w:rsidP="00CF0A4C">
      <w:r>
        <w:br w:type="page"/>
      </w:r>
    </w:p>
    <w:p w14:paraId="47202D37" w14:textId="5DA64AA2" w:rsidR="00352DBD" w:rsidRPr="000B4CD3" w:rsidRDefault="00352DBD" w:rsidP="0004270E">
      <w:pPr>
        <w:pStyle w:val="Heading2"/>
      </w:pPr>
      <w:bookmarkStart w:id="33" w:name="_Toc494984627"/>
      <w:r w:rsidRPr="000B4CD3">
        <w:lastRenderedPageBreak/>
        <w:t>Procurement Services</w:t>
      </w:r>
      <w:bookmarkEnd w:id="33"/>
    </w:p>
    <w:p w14:paraId="38736355" w14:textId="77777777" w:rsidR="00352DBD" w:rsidRPr="007B54AB" w:rsidRDefault="00352DBD" w:rsidP="00792F33">
      <w:pPr>
        <w:pStyle w:val="Heading3"/>
      </w:pPr>
      <w:r w:rsidRPr="00CB45B4">
        <w:t>Our Objective</w:t>
      </w:r>
    </w:p>
    <w:p w14:paraId="3DB6913D" w14:textId="77777777" w:rsidR="00352DBD" w:rsidRPr="00DA6B9A" w:rsidRDefault="00352DBD" w:rsidP="00CF0A4C">
      <w:r w:rsidRPr="00DA6B9A">
        <w:t>To provide expert advisory, enabling and support services to agencies, suppliers and the community in the achievement of procurement outcomes.</w:t>
      </w:r>
    </w:p>
    <w:p w14:paraId="1FEEB771" w14:textId="343AA00A" w:rsidR="00352DBD" w:rsidRPr="007B54AB" w:rsidRDefault="00352DBD" w:rsidP="00792F33">
      <w:pPr>
        <w:pStyle w:val="Heading3"/>
      </w:pPr>
      <w:r w:rsidRPr="00CB45B4">
        <w:t xml:space="preserve">What </w:t>
      </w:r>
      <w:r w:rsidR="00DA5BFD">
        <w:t>W</w:t>
      </w:r>
      <w:r w:rsidRPr="00CB45B4">
        <w:t xml:space="preserve">e </w:t>
      </w:r>
      <w:r w:rsidR="00DA5BFD">
        <w:t>D</w:t>
      </w:r>
      <w:r w:rsidRPr="00CB45B4">
        <w:t>o</w:t>
      </w:r>
    </w:p>
    <w:p w14:paraId="24001B35" w14:textId="79FEB42B" w:rsidR="00352DBD" w:rsidRPr="00DA6B9A" w:rsidRDefault="00352DBD" w:rsidP="00CF0A4C">
      <w:r w:rsidRPr="00DA6B9A">
        <w:t>Procurement Services manages the Queensland Government’s procurement policy and related frameworks. It provides expert advice to stakeholders, and helps enable agencies to achieve their procurement outcomes by sharing procurement information, best practice and innovation; developing whole-of-government frameworks in areas including capability, accreditation and performance; and working with agencies to reduce the cost of doing business with the Queensland Government.</w:t>
      </w:r>
    </w:p>
    <w:p w14:paraId="3BE12AA3" w14:textId="77777777" w:rsidR="00DC4782" w:rsidRDefault="00DC4782" w:rsidP="00DC4782">
      <w:pPr>
        <w:rPr>
          <w:b/>
        </w:rPr>
      </w:pPr>
      <w:r w:rsidRPr="00DC4782">
        <w:rPr>
          <w:b/>
        </w:rPr>
        <w:t>Infographic:</w:t>
      </w:r>
      <w:r>
        <w:rPr>
          <w:b/>
        </w:rPr>
        <w:t xml:space="preserve"> </w:t>
      </w:r>
      <w:r w:rsidRPr="00D675BC">
        <w:rPr>
          <w:b/>
        </w:rPr>
        <w:t>Improving procurement capability</w:t>
      </w:r>
      <w:r>
        <w:rPr>
          <w:b/>
        </w:rPr>
        <w:t xml:space="preserve"> </w:t>
      </w:r>
    </w:p>
    <w:p w14:paraId="482D75A6" w14:textId="77777777" w:rsidR="00DC4782" w:rsidRPr="00D675BC" w:rsidRDefault="00DC4782" w:rsidP="00DC4782">
      <w:pPr>
        <w:pStyle w:val="ListParagraph"/>
        <w:numPr>
          <w:ilvl w:val="0"/>
          <w:numId w:val="19"/>
        </w:numPr>
      </w:pPr>
      <w:r w:rsidRPr="00D675BC">
        <w:t>2,000 public sector staff - Completed procurement and leadership training programs.</w:t>
      </w:r>
    </w:p>
    <w:p w14:paraId="13073142" w14:textId="77777777" w:rsidR="00DC4782" w:rsidRPr="00D675BC" w:rsidRDefault="00DC4782" w:rsidP="00DC4782">
      <w:pPr>
        <w:pStyle w:val="ListParagraph"/>
        <w:numPr>
          <w:ilvl w:val="0"/>
          <w:numId w:val="19"/>
        </w:numPr>
      </w:pPr>
      <w:r w:rsidRPr="00D675BC">
        <w:t>300 Procurement officers and contract managers attended contract management training.</w:t>
      </w:r>
    </w:p>
    <w:p w14:paraId="15F95D30" w14:textId="77777777" w:rsidR="00DC4782" w:rsidRPr="00096C6C" w:rsidRDefault="00DC4782" w:rsidP="00DC4782">
      <w:pPr>
        <w:pStyle w:val="ListParagraph"/>
        <w:numPr>
          <w:ilvl w:val="0"/>
          <w:numId w:val="19"/>
        </w:numPr>
      </w:pPr>
      <w:r w:rsidRPr="00D675BC">
        <w:t>1,800 attendees for QTravel Region Roadshow.</w:t>
      </w:r>
    </w:p>
    <w:p w14:paraId="615FF794" w14:textId="77777777" w:rsidR="00DC4782" w:rsidRPr="00E05961" w:rsidRDefault="00DC4782" w:rsidP="00DC4782">
      <w:pPr>
        <w:rPr>
          <w:b/>
          <w:color w:val="000000" w:themeColor="text1"/>
        </w:rPr>
      </w:pPr>
      <w:r>
        <w:rPr>
          <w:b/>
          <w:color w:val="000000" w:themeColor="text1"/>
        </w:rPr>
        <w:t>New way of doing business</w:t>
      </w:r>
    </w:p>
    <w:p w14:paraId="39A9C980" w14:textId="77777777" w:rsidR="00DC4782" w:rsidRPr="00E05961" w:rsidRDefault="00DC4782" w:rsidP="00DC4782">
      <w:pPr>
        <w:rPr>
          <w:color w:val="000000" w:themeColor="text1"/>
        </w:rPr>
      </w:pPr>
      <w:r w:rsidRPr="00E05961">
        <w:rPr>
          <w:color w:val="000000" w:themeColor="text1"/>
        </w:rPr>
        <w:t xml:space="preserve">Effective government procurement supports the delivery of frontline services such as housing and social services, as well as the building and maintenance of important infrastructure assets such as roads, schools and hospitals. With over $18 billion spent each year, Queensland Government procurement provides the opportunity to ensure government spending can achieve positive economic, social and environmental outcomes across the state. </w:t>
      </w:r>
    </w:p>
    <w:p w14:paraId="41A3FA15" w14:textId="77777777" w:rsidR="00DC4782" w:rsidRPr="00E05961" w:rsidRDefault="00DC4782" w:rsidP="00DC4782">
      <w:pPr>
        <w:rPr>
          <w:color w:val="000000" w:themeColor="text1"/>
        </w:rPr>
      </w:pPr>
      <w:r w:rsidRPr="00E05961">
        <w:rPr>
          <w:color w:val="000000" w:themeColor="text1"/>
        </w:rPr>
        <w:t xml:space="preserve">In July 2016, the Office of the Chief Advisor - Procurement (OCA-P) was established to deliver a new whole-of-government, agency-led, centrally enabled procurement model in Queensland. </w:t>
      </w:r>
    </w:p>
    <w:p w14:paraId="4ABDD584" w14:textId="77777777" w:rsidR="00DC4782" w:rsidRPr="00E05961" w:rsidRDefault="00DC4782" w:rsidP="00DC4782">
      <w:pPr>
        <w:rPr>
          <w:color w:val="000000" w:themeColor="text1"/>
        </w:rPr>
      </w:pPr>
      <w:r w:rsidRPr="00E05961">
        <w:rPr>
          <w:color w:val="000000" w:themeColor="text1"/>
        </w:rPr>
        <w:t>The new procurement operating model empowers agencies, strengthens governance, enhances industry engagement, develops procurement capability, and improves systems, data and reporting. The model prioritises forward planning, greater engagement and a category management approach to create and sustain value for money and make it easier to do business with government.</w:t>
      </w:r>
    </w:p>
    <w:p w14:paraId="6FB4F348" w14:textId="77777777" w:rsidR="00DC4782" w:rsidRPr="00E05961" w:rsidRDefault="00DC4782" w:rsidP="00DC4782">
      <w:pPr>
        <w:rPr>
          <w:color w:val="000000" w:themeColor="text1"/>
        </w:rPr>
      </w:pPr>
      <w:r w:rsidRPr="00E05961">
        <w:rPr>
          <w:color w:val="000000" w:themeColor="text1"/>
        </w:rPr>
        <w:t>Improved engagement with industry and enhancing overall capacity and capability to deliver for the individual categories has been a hallmark of the new procurement approach.</w:t>
      </w:r>
    </w:p>
    <w:p w14:paraId="0BE5F231" w14:textId="77777777" w:rsidR="00DC4782" w:rsidRPr="00E05961" w:rsidRDefault="00DC4782" w:rsidP="00DC4782">
      <w:pPr>
        <w:rPr>
          <w:color w:val="000000" w:themeColor="text1"/>
        </w:rPr>
      </w:pPr>
      <w:r w:rsidRPr="00E05961">
        <w:rPr>
          <w:color w:val="000000" w:themeColor="text1"/>
        </w:rPr>
        <w:t xml:space="preserve">A new governance framework was introduced to support the new operating model. From the first meeting of the Procurement Industry Advisory Group in September 2016, OCA-P has engaged business advocates and representatives of industry associations on issues of strategic importance to establish a clear pathway towards improved government procurement. </w:t>
      </w:r>
    </w:p>
    <w:p w14:paraId="0F88FDF9" w14:textId="77777777" w:rsidR="00DC4782" w:rsidRPr="00E05961" w:rsidRDefault="00DC4782" w:rsidP="00DC4782">
      <w:pPr>
        <w:rPr>
          <w:color w:val="000000" w:themeColor="text1"/>
        </w:rPr>
      </w:pPr>
      <w:r w:rsidRPr="00E05961">
        <w:rPr>
          <w:color w:val="000000" w:themeColor="text1"/>
        </w:rPr>
        <w:t xml:space="preserve">Six Category Councils were also established to provide strategic leadership for each individual category group and to deliver a strategic direction for each category. </w:t>
      </w:r>
    </w:p>
    <w:p w14:paraId="1583E777" w14:textId="77777777" w:rsidR="00DC4782" w:rsidRPr="00E05961" w:rsidRDefault="00DC4782" w:rsidP="00DC4782">
      <w:pPr>
        <w:rPr>
          <w:color w:val="000000" w:themeColor="text1"/>
        </w:rPr>
      </w:pPr>
      <w:r w:rsidRPr="00E05961">
        <w:rPr>
          <w:color w:val="000000" w:themeColor="text1"/>
        </w:rPr>
        <w:t xml:space="preserve">This collaborative approach has demonstrated that better engagement can deliver better outcomes. </w:t>
      </w:r>
    </w:p>
    <w:p w14:paraId="005387F1" w14:textId="77777777" w:rsidR="00DC4782" w:rsidRPr="00E05961" w:rsidRDefault="00DC4782" w:rsidP="00DC4782">
      <w:pPr>
        <w:rPr>
          <w:i/>
          <w:color w:val="000000" w:themeColor="text1"/>
        </w:rPr>
      </w:pPr>
      <w:r w:rsidRPr="00E05961">
        <w:rPr>
          <w:color w:val="000000" w:themeColor="text1"/>
        </w:rPr>
        <w:t xml:space="preserve">The new operating model and greater industry engagement are providing </w:t>
      </w:r>
      <w:r>
        <w:rPr>
          <w:color w:val="000000" w:themeColor="text1"/>
        </w:rPr>
        <w:t>a</w:t>
      </w:r>
      <w:r w:rsidRPr="00E05961">
        <w:rPr>
          <w:color w:val="000000" w:themeColor="text1"/>
        </w:rPr>
        <w:t xml:space="preserve"> foundation for the </w:t>
      </w:r>
      <w:r>
        <w:rPr>
          <w:color w:val="000000" w:themeColor="text1"/>
        </w:rPr>
        <w:t>development</w:t>
      </w:r>
      <w:r w:rsidRPr="00E05961">
        <w:rPr>
          <w:color w:val="000000" w:themeColor="text1"/>
        </w:rPr>
        <w:t xml:space="preserve"> of the Queensland Government Procurement Strategy</w:t>
      </w:r>
      <w:r w:rsidRPr="00E05961">
        <w:rPr>
          <w:i/>
          <w:color w:val="000000" w:themeColor="text1"/>
        </w:rPr>
        <w:t xml:space="preserve"> </w:t>
      </w:r>
      <w:r w:rsidRPr="00E05961">
        <w:rPr>
          <w:color w:val="000000" w:themeColor="text1"/>
        </w:rPr>
        <w:t>and</w:t>
      </w:r>
      <w:r>
        <w:rPr>
          <w:color w:val="000000" w:themeColor="text1"/>
        </w:rPr>
        <w:t xml:space="preserve"> the revised</w:t>
      </w:r>
      <w:r w:rsidRPr="00E05961">
        <w:rPr>
          <w:color w:val="000000" w:themeColor="text1"/>
        </w:rPr>
        <w:t xml:space="preserve"> Queensland Procurement Policy</w:t>
      </w:r>
      <w:r>
        <w:rPr>
          <w:color w:val="000000" w:themeColor="text1"/>
        </w:rPr>
        <w:t>, due to be launched</w:t>
      </w:r>
      <w:r w:rsidRPr="00E05961">
        <w:rPr>
          <w:i/>
          <w:color w:val="000000" w:themeColor="text1"/>
        </w:rPr>
        <w:t xml:space="preserve"> </w:t>
      </w:r>
      <w:r w:rsidRPr="00E05961">
        <w:rPr>
          <w:color w:val="000000" w:themeColor="text1"/>
        </w:rPr>
        <w:t>in 2017–18</w:t>
      </w:r>
      <w:r w:rsidRPr="00E05961">
        <w:rPr>
          <w:i/>
          <w:color w:val="000000" w:themeColor="text1"/>
        </w:rPr>
        <w:t xml:space="preserve">. </w:t>
      </w:r>
      <w:r w:rsidRPr="00E05961">
        <w:rPr>
          <w:color w:val="000000" w:themeColor="text1"/>
        </w:rPr>
        <w:t xml:space="preserve">The new strategy </w:t>
      </w:r>
      <w:r>
        <w:rPr>
          <w:color w:val="000000" w:themeColor="text1"/>
        </w:rPr>
        <w:t xml:space="preserve">will </w:t>
      </w:r>
      <w:r w:rsidRPr="00E05961">
        <w:rPr>
          <w:color w:val="000000" w:themeColor="text1"/>
        </w:rPr>
        <w:t>deliver an approach which prioritises local jobs, improves processes for agencies and suppliers, increases the visibility of the forward pipeline of procurement opportunities and demonstrates the value of the new operating model.</w:t>
      </w:r>
      <w:r w:rsidRPr="00E05961">
        <w:rPr>
          <w:i/>
          <w:color w:val="000000" w:themeColor="text1"/>
        </w:rPr>
        <w:t xml:space="preserve"> </w:t>
      </w:r>
    </w:p>
    <w:p w14:paraId="7A960200" w14:textId="3EFAAFB8" w:rsidR="006F43D0" w:rsidRPr="00912E38" w:rsidRDefault="00DC4782" w:rsidP="00E05961">
      <w:pPr>
        <w:rPr>
          <w:lang w:val="en-US" w:eastAsia="en-AU"/>
        </w:rPr>
        <w:sectPr w:rsidR="006F43D0" w:rsidRPr="00912E38" w:rsidSect="00895349">
          <w:type w:val="continuous"/>
          <w:pgSz w:w="11906" w:h="16838"/>
          <w:pgMar w:top="1440" w:right="1021" w:bottom="1440" w:left="1021" w:header="709" w:footer="709" w:gutter="0"/>
          <w:cols w:space="708"/>
          <w:docGrid w:linePitch="360"/>
        </w:sectPr>
      </w:pPr>
      <w:r>
        <w:rPr>
          <w:color w:val="000000" w:themeColor="text1"/>
        </w:rPr>
        <w:t>IMAGE: LADY FOLDING LAUNDRY FOR LAUNDRY SERVICE</w:t>
      </w:r>
      <w:r>
        <w:rPr>
          <w:color w:val="000000" w:themeColor="text1"/>
        </w:rPr>
        <w:t xml:space="preserve"> </w:t>
      </w:r>
      <w:r>
        <w:rPr>
          <w:color w:val="000000" w:themeColor="text1"/>
        </w:rPr>
        <w:t>IMAGE: TRADESMAN WORKING</w:t>
      </w:r>
    </w:p>
    <w:p w14:paraId="3B5AE9E8" w14:textId="27D65DE3" w:rsidR="000076DA" w:rsidRPr="004F3CFF" w:rsidRDefault="000076DA" w:rsidP="00792F33">
      <w:pPr>
        <w:pStyle w:val="Heading3"/>
      </w:pPr>
      <w:r>
        <w:lastRenderedPageBreak/>
        <w:t>Our A</w:t>
      </w:r>
      <w:r w:rsidRPr="004F3CFF">
        <w:t>chievements</w:t>
      </w:r>
    </w:p>
    <w:p w14:paraId="45CFED12" w14:textId="12CDDED7" w:rsidR="00D624DD" w:rsidRPr="008323AB" w:rsidRDefault="00494119" w:rsidP="00CF0A4C">
      <w:r>
        <w:t xml:space="preserve">In </w:t>
      </w:r>
      <w:r w:rsidR="000C39C3">
        <w:t>2016–17</w:t>
      </w:r>
      <w:r w:rsidR="00BA7D8B">
        <w:t>,</w:t>
      </w:r>
      <w:r>
        <w:t xml:space="preserve"> we</w:t>
      </w:r>
      <w:r w:rsidR="00F31AEF">
        <w:t>:</w:t>
      </w:r>
    </w:p>
    <w:p w14:paraId="4A440941" w14:textId="25BE3A15" w:rsidR="008323AB" w:rsidRPr="008323AB" w:rsidRDefault="008323AB" w:rsidP="00096C6C">
      <w:pPr>
        <w:pStyle w:val="Bullets"/>
      </w:pPr>
      <w:r w:rsidRPr="00096C6C">
        <w:t>form</w:t>
      </w:r>
      <w:r w:rsidR="009B0AA3" w:rsidRPr="00096C6C">
        <w:t>ed</w:t>
      </w:r>
      <w:r w:rsidRPr="000F2273">
        <w:t xml:space="preserve"> the Procurement Industry Advisory Group to strengthen engagement with industry</w:t>
      </w:r>
    </w:p>
    <w:p w14:paraId="2F23D76F" w14:textId="7EEA9CBE" w:rsidR="008323AB" w:rsidRPr="0066568A" w:rsidRDefault="008323AB" w:rsidP="00096C6C">
      <w:pPr>
        <w:pStyle w:val="Bullets"/>
      </w:pPr>
      <w:r w:rsidRPr="0066568A">
        <w:t>develop</w:t>
      </w:r>
      <w:r w:rsidR="00E83F40" w:rsidRPr="0066568A">
        <w:t>ed</w:t>
      </w:r>
      <w:r w:rsidRPr="0066568A">
        <w:t xml:space="preserve"> the General Goods and Services Category Strategy</w:t>
      </w:r>
      <w:r w:rsidR="00314AF8" w:rsidRPr="0066568A">
        <w:t xml:space="preserve"> t</w:t>
      </w:r>
      <w:r w:rsidR="00AC489C" w:rsidRPr="0066568A">
        <w:t>o</w:t>
      </w:r>
      <w:r w:rsidR="00046470" w:rsidRPr="0066568A">
        <w:rPr>
          <w:lang w:val="en"/>
        </w:rPr>
        <w:t xml:space="preserve"> ensure a whole-of</w:t>
      </w:r>
      <w:r w:rsidR="007901B1">
        <w:rPr>
          <w:lang w:val="en"/>
        </w:rPr>
        <w:t>-</w:t>
      </w:r>
      <w:r w:rsidR="00046470" w:rsidRPr="0066568A">
        <w:rPr>
          <w:lang w:val="en"/>
        </w:rPr>
        <w:t>government approach to creating and sustaining value</w:t>
      </w:r>
    </w:p>
    <w:p w14:paraId="0D0C887B" w14:textId="70C4188B" w:rsidR="008323AB" w:rsidRDefault="00D4032F" w:rsidP="00096C6C">
      <w:pPr>
        <w:pStyle w:val="Bullets"/>
      </w:pPr>
      <w:r>
        <w:t xml:space="preserve">facilitated the creation of six Category Councils across government </w:t>
      </w:r>
      <w:r w:rsidR="00222773">
        <w:t xml:space="preserve">and </w:t>
      </w:r>
      <w:r w:rsidR="008323AB" w:rsidRPr="000F2273">
        <w:t>creat</w:t>
      </w:r>
      <w:r w:rsidR="00222773">
        <w:t>ed</w:t>
      </w:r>
      <w:r w:rsidR="008323AB" w:rsidRPr="000F2273">
        <w:t xml:space="preserve"> cross-agency Category Working Groups and developed category plans to support implementation of the General Goods and Services Category Strategy</w:t>
      </w:r>
    </w:p>
    <w:p w14:paraId="301D3FFB" w14:textId="5D6BE036" w:rsidR="00B303FC" w:rsidRPr="001C2FF4" w:rsidRDefault="00B303FC" w:rsidP="00096C6C">
      <w:pPr>
        <w:pStyle w:val="Bullets"/>
        <w:rPr>
          <w:lang w:val="en-US"/>
        </w:rPr>
      </w:pPr>
      <w:r w:rsidRPr="00EB221B">
        <w:rPr>
          <w:lang w:val="en-US"/>
        </w:rPr>
        <w:t>hosted 120 staff representing</w:t>
      </w:r>
      <w:r w:rsidR="007901B1">
        <w:rPr>
          <w:lang w:val="en-US"/>
        </w:rPr>
        <w:t>,</w:t>
      </w:r>
      <w:r w:rsidRPr="00EB221B">
        <w:rPr>
          <w:lang w:val="en-US"/>
        </w:rPr>
        <w:t xml:space="preserve"> 28 government and industry organisations</w:t>
      </w:r>
      <w:r w:rsidR="007901B1">
        <w:rPr>
          <w:lang w:val="en-US"/>
        </w:rPr>
        <w:t>,</w:t>
      </w:r>
      <w:r w:rsidRPr="005407CF">
        <w:rPr>
          <w:lang w:val="en-US"/>
        </w:rPr>
        <w:t xml:space="preserve"> at a Building Construction and Maintenance Category Collaboration Forum. The purpose of the forum was to work together on strategies to improve value through </w:t>
      </w:r>
      <w:r w:rsidR="00FD033B">
        <w:rPr>
          <w:lang w:val="en-US"/>
        </w:rPr>
        <w:t>b</w:t>
      </w:r>
      <w:r w:rsidRPr="005407CF">
        <w:rPr>
          <w:lang w:val="en-US"/>
        </w:rPr>
        <w:t xml:space="preserve">uilding </w:t>
      </w:r>
      <w:r w:rsidR="00FD033B">
        <w:rPr>
          <w:lang w:val="en-US"/>
        </w:rPr>
        <w:t>c</w:t>
      </w:r>
      <w:r w:rsidRPr="005407CF">
        <w:rPr>
          <w:lang w:val="en-US"/>
        </w:rPr>
        <w:t xml:space="preserve">onstruction and </w:t>
      </w:r>
      <w:r w:rsidR="00FD033B">
        <w:rPr>
          <w:lang w:val="en-US"/>
        </w:rPr>
        <w:t>m</w:t>
      </w:r>
      <w:r w:rsidRPr="005407CF">
        <w:rPr>
          <w:lang w:val="en-US"/>
        </w:rPr>
        <w:t xml:space="preserve">aintenance expenditure and discuss the </w:t>
      </w:r>
      <w:r w:rsidR="007901B1">
        <w:rPr>
          <w:lang w:val="en-US"/>
        </w:rPr>
        <w:t>g</w:t>
      </w:r>
      <w:r w:rsidRPr="005407CF">
        <w:rPr>
          <w:lang w:val="en-US"/>
        </w:rPr>
        <w:t>overnment’s pipeline of work</w:t>
      </w:r>
    </w:p>
    <w:p w14:paraId="34DC9147" w14:textId="7E77F059" w:rsidR="008323AB" w:rsidRPr="008323AB" w:rsidRDefault="008323AB" w:rsidP="00D675BC">
      <w:pPr>
        <w:pStyle w:val="Bullets"/>
      </w:pPr>
      <w:r w:rsidRPr="000F2273">
        <w:t>establish</w:t>
      </w:r>
      <w:r w:rsidR="00222773">
        <w:t>ed</w:t>
      </w:r>
      <w:r w:rsidRPr="000F2273">
        <w:t xml:space="preserve"> the Smoke Alarm Procurement Group to ensure a collaborative whole-of-government approach to the procurement of smoke alarms</w:t>
      </w:r>
    </w:p>
    <w:p w14:paraId="0CBE2C49" w14:textId="5A4C8449" w:rsidR="008323AB" w:rsidRPr="008323AB" w:rsidRDefault="008323AB" w:rsidP="00E05961">
      <w:pPr>
        <w:pStyle w:val="Bullets"/>
      </w:pPr>
      <w:r w:rsidRPr="000F2273">
        <w:t>award</w:t>
      </w:r>
      <w:r w:rsidR="002376C1">
        <w:t>ed</w:t>
      </w:r>
      <w:r w:rsidRPr="000F2273">
        <w:t xml:space="preserve"> new whole-of-government standing offer arrangements for salary packaging administration services, novated leasing services and for the supply of electricity to small sites within Queensland</w:t>
      </w:r>
    </w:p>
    <w:p w14:paraId="76B597AD" w14:textId="0E856949" w:rsidR="008323AB" w:rsidRPr="008323AB" w:rsidRDefault="008323AB">
      <w:pPr>
        <w:pStyle w:val="Bullets"/>
      </w:pPr>
      <w:r w:rsidRPr="000F2273">
        <w:t>attract</w:t>
      </w:r>
      <w:r w:rsidR="002376C1">
        <w:t>ed</w:t>
      </w:r>
      <w:r w:rsidRPr="000F2273">
        <w:t xml:space="preserve"> 1</w:t>
      </w:r>
      <w:r w:rsidR="007901B1">
        <w:t>,</w:t>
      </w:r>
      <w:r w:rsidRPr="000F2273">
        <w:t xml:space="preserve">800 attendees to the QTravel Regional Roadshow held across </w:t>
      </w:r>
      <w:r w:rsidR="007901B1">
        <w:t>Queensland</w:t>
      </w:r>
      <w:r w:rsidRPr="000F2273">
        <w:t xml:space="preserve"> during April and May 2017</w:t>
      </w:r>
      <w:r w:rsidR="007901B1">
        <w:t>,</w:t>
      </w:r>
      <w:r w:rsidRPr="000F2273">
        <w:t xml:space="preserve"> focusing on online booking tool changes (cancellations and changes online) and airfare booking classes</w:t>
      </w:r>
    </w:p>
    <w:p w14:paraId="2F88B9AA" w14:textId="2F24DE0D" w:rsidR="008323AB" w:rsidRDefault="008323AB">
      <w:pPr>
        <w:pStyle w:val="Bullets"/>
      </w:pPr>
      <w:r w:rsidRPr="000F2273">
        <w:t>continu</w:t>
      </w:r>
      <w:r w:rsidR="002376C1">
        <w:t>ed</w:t>
      </w:r>
      <w:r w:rsidRPr="000F2273">
        <w:t xml:space="preserve"> to increase procurement capability across the public sector by delivering procurement </w:t>
      </w:r>
      <w:r w:rsidR="009521A4">
        <w:t xml:space="preserve">and leadership </w:t>
      </w:r>
      <w:r w:rsidRPr="000F2273">
        <w:t xml:space="preserve">training programs to </w:t>
      </w:r>
      <w:r w:rsidR="009521A4">
        <w:t>over 2,000 staff</w:t>
      </w:r>
      <w:r w:rsidR="007901B1">
        <w:t>,</w:t>
      </w:r>
      <w:r w:rsidR="009521A4">
        <w:t xml:space="preserve"> </w:t>
      </w:r>
      <w:r w:rsidRPr="000F2273">
        <w:t>ensur</w:t>
      </w:r>
      <w:r w:rsidR="009521A4">
        <w:t>ing</w:t>
      </w:r>
      <w:r w:rsidRPr="000F2273">
        <w:t xml:space="preserve"> agencies are delivering quality outcomes for Queenslanders.</w:t>
      </w:r>
    </w:p>
    <w:p w14:paraId="0C73B985" w14:textId="0217A164" w:rsidR="009937EB" w:rsidRPr="003648EA" w:rsidRDefault="009937EB">
      <w:pPr>
        <w:pStyle w:val="Bullets"/>
      </w:pPr>
      <w:r w:rsidRPr="003648EA">
        <w:t xml:space="preserve">commenced work on a procurement data strategy and a set of minimum data requirements to improve our procurement data and </w:t>
      </w:r>
      <w:r w:rsidR="00FD033B">
        <w:t xml:space="preserve">to </w:t>
      </w:r>
      <w:r w:rsidRPr="003648EA">
        <w:t xml:space="preserve">enable better decision making </w:t>
      </w:r>
    </w:p>
    <w:p w14:paraId="4EA0D511" w14:textId="4FBB46CE" w:rsidR="009937EB" w:rsidRPr="003648EA" w:rsidRDefault="009937EB">
      <w:pPr>
        <w:pStyle w:val="Bullets"/>
      </w:pPr>
      <w:r w:rsidRPr="003648EA">
        <w:t xml:space="preserve">continued to support the professionalisation of the procurement function by delivering </w:t>
      </w:r>
      <w:r w:rsidR="00820FF4">
        <w:t xml:space="preserve">contract management </w:t>
      </w:r>
      <w:r w:rsidR="00FA69D6">
        <w:t>training</w:t>
      </w:r>
      <w:r w:rsidR="00FA69D6" w:rsidRPr="003648EA">
        <w:t xml:space="preserve"> </w:t>
      </w:r>
      <w:r w:rsidRPr="003648EA">
        <w:t xml:space="preserve">to </w:t>
      </w:r>
      <w:r w:rsidR="00820FF4">
        <w:t xml:space="preserve">over 300 </w:t>
      </w:r>
      <w:r w:rsidRPr="003648EA">
        <w:t>procurement officers and contract managers across the sector</w:t>
      </w:r>
    </w:p>
    <w:p w14:paraId="0B1ADE65" w14:textId="76CE1314" w:rsidR="009937EB" w:rsidRPr="003648EA" w:rsidRDefault="009937EB">
      <w:pPr>
        <w:pStyle w:val="Bullets"/>
      </w:pPr>
      <w:r w:rsidRPr="003648EA">
        <w:t xml:space="preserve">implemented </w:t>
      </w:r>
      <w:r w:rsidR="00FD033B">
        <w:t xml:space="preserve">a </w:t>
      </w:r>
      <w:r w:rsidRPr="003648EA">
        <w:t>new sourcing process for General Goods and Services to identify opportunities for local small and medium sized businesses, Aboriginal and Torres Strait Islander businesses, and social enterprises to participate in whole-of-government supply arrangements</w:t>
      </w:r>
      <w:r w:rsidR="002376C1" w:rsidRPr="690957E2">
        <w:t>.</w:t>
      </w:r>
      <w:r w:rsidRPr="690957E2">
        <w:t xml:space="preserve"> </w:t>
      </w:r>
    </w:p>
    <w:p w14:paraId="7E94451C" w14:textId="01A56551" w:rsidR="000076DA" w:rsidRPr="00E52E16" w:rsidRDefault="000076DA" w:rsidP="00792F33">
      <w:pPr>
        <w:pStyle w:val="Heading3"/>
      </w:pPr>
      <w:r w:rsidRPr="00E52E16">
        <w:t>Our future</w:t>
      </w:r>
      <w:r>
        <w:t xml:space="preserve"> focus</w:t>
      </w:r>
    </w:p>
    <w:p w14:paraId="5AC3C8BB" w14:textId="3D06E816" w:rsidR="0058053B" w:rsidRPr="001159B3" w:rsidRDefault="00585213" w:rsidP="00CF0A4C">
      <w:r>
        <w:t>In 201</w:t>
      </w:r>
      <w:r w:rsidR="00475204">
        <w:t>7</w:t>
      </w:r>
      <w:r>
        <w:t>–1</w:t>
      </w:r>
      <w:r w:rsidR="00475204">
        <w:t>8</w:t>
      </w:r>
      <w:r>
        <w:t xml:space="preserve">, the department will continue to deliver initiatives that will make a difference to Queenslanders through:  </w:t>
      </w:r>
    </w:p>
    <w:p w14:paraId="7E57D1B8" w14:textId="4D38C9A4" w:rsidR="00FA69D6" w:rsidRDefault="00FA69D6" w:rsidP="00096C6C">
      <w:pPr>
        <w:pStyle w:val="Bullets"/>
      </w:pPr>
      <w:r>
        <w:t xml:space="preserve">releasing of the Queensland Government Procurement Strategy and the revised Queensland Procurement Policy </w:t>
      </w:r>
    </w:p>
    <w:p w14:paraId="030B0C1F" w14:textId="76F97328" w:rsidR="0058053B" w:rsidRPr="001159B3" w:rsidRDefault="0058053B" w:rsidP="00096C6C">
      <w:pPr>
        <w:pStyle w:val="Bullets"/>
      </w:pPr>
      <w:r w:rsidRPr="001159B3">
        <w:t>continuing to implement the whole-of-government procurement operating model</w:t>
      </w:r>
    </w:p>
    <w:p w14:paraId="59DCB722" w14:textId="5A999DA8" w:rsidR="0058053B" w:rsidRPr="009A17C8" w:rsidRDefault="0058053B" w:rsidP="00096C6C">
      <w:pPr>
        <w:pStyle w:val="Bullets"/>
      </w:pPr>
      <w:r w:rsidRPr="001159B3">
        <w:t xml:space="preserve">providing an agency led, centrally enabled function that takes a best practice category management approach to the procurement of general goods and services and enabling Queensland Government departments to construct and maintain Queensland’s building infrastructure through </w:t>
      </w:r>
      <w:r w:rsidR="00FD033B">
        <w:t xml:space="preserve">the </w:t>
      </w:r>
      <w:r w:rsidRPr="001159B3">
        <w:t xml:space="preserve">management of the </w:t>
      </w:r>
      <w:r w:rsidR="00D363EC">
        <w:t>B</w:t>
      </w:r>
      <w:r w:rsidRPr="001159B3">
        <w:t xml:space="preserve">uilding </w:t>
      </w:r>
      <w:r w:rsidR="00D363EC">
        <w:t>C</w:t>
      </w:r>
      <w:r w:rsidRPr="001159B3">
        <w:t xml:space="preserve">onstruction and </w:t>
      </w:r>
      <w:r w:rsidR="00D363EC">
        <w:t>M</w:t>
      </w:r>
      <w:r w:rsidRPr="001159B3">
        <w:t>aintenance ca</w:t>
      </w:r>
      <w:r w:rsidRPr="00FF44EF">
        <w:t>tegory</w:t>
      </w:r>
    </w:p>
    <w:p w14:paraId="036A8433" w14:textId="77777777" w:rsidR="0058053B" w:rsidRPr="00D32701" w:rsidRDefault="0058053B" w:rsidP="00096C6C">
      <w:pPr>
        <w:pStyle w:val="Bullets"/>
      </w:pPr>
      <w:r w:rsidRPr="009A17C8">
        <w:t>driving value for money outcomes for Queensland by enabling government agencies to leverage spend and resources to deliver more services</w:t>
      </w:r>
    </w:p>
    <w:p w14:paraId="54219112" w14:textId="405D3B4F" w:rsidR="00A33D9E" w:rsidRPr="001159B3" w:rsidRDefault="00A33D9E" w:rsidP="00D675BC">
      <w:pPr>
        <w:pStyle w:val="Bullets"/>
      </w:pPr>
      <w:r w:rsidRPr="00D32701">
        <w:t xml:space="preserve">embedding category management for </w:t>
      </w:r>
      <w:r w:rsidR="00FD033B">
        <w:t xml:space="preserve">the the </w:t>
      </w:r>
      <w:r w:rsidR="00FD033B" w:rsidRPr="00D32701">
        <w:t>Building</w:t>
      </w:r>
      <w:r w:rsidRPr="00D32701">
        <w:t xml:space="preserve"> </w:t>
      </w:r>
      <w:r w:rsidR="00D363EC">
        <w:t>C</w:t>
      </w:r>
      <w:r w:rsidRPr="00D32701">
        <w:t xml:space="preserve">onstruction and </w:t>
      </w:r>
      <w:r w:rsidR="00D363EC">
        <w:t>M</w:t>
      </w:r>
      <w:r w:rsidRPr="00D32701">
        <w:t>aintenance category</w:t>
      </w:r>
    </w:p>
    <w:p w14:paraId="285E51C6" w14:textId="0D1C10F1" w:rsidR="0058053B" w:rsidRPr="001159B3" w:rsidRDefault="0058053B" w:rsidP="00E05961">
      <w:pPr>
        <w:pStyle w:val="Bullets"/>
      </w:pPr>
      <w:r w:rsidRPr="001159B3">
        <w:t>providing advice, support, frameworks and tools</w:t>
      </w:r>
      <w:r w:rsidR="00FD033B">
        <w:t>,</w:t>
      </w:r>
      <w:r w:rsidRPr="001159B3">
        <w:t xml:space="preserve"> to enable agencies to increase opportunities for local suppliers and grow regional economies</w:t>
      </w:r>
    </w:p>
    <w:p w14:paraId="3D0C812F" w14:textId="77777777" w:rsidR="008503AA" w:rsidRDefault="0058053B" w:rsidP="00B229AB">
      <w:pPr>
        <w:pStyle w:val="Bullets"/>
      </w:pPr>
      <w:r w:rsidRPr="001159B3">
        <w:t>embedding non-price considerations, including social procurement into government procurement processes</w:t>
      </w:r>
      <w:r w:rsidR="00FD033B">
        <w:t>,</w:t>
      </w:r>
      <w:r w:rsidRPr="001159B3">
        <w:t xml:space="preserve"> to facilitate opportunities for improved outcomes for targeted social groups</w:t>
      </w:r>
    </w:p>
    <w:p w14:paraId="6682719C" w14:textId="58E0BE9D" w:rsidR="00B229AB" w:rsidRPr="00792F33" w:rsidRDefault="008503AA" w:rsidP="00B229AB">
      <w:pPr>
        <w:pStyle w:val="Bullets"/>
        <w:rPr>
          <w:color w:val="000000" w:themeColor="text1"/>
        </w:rPr>
        <w:sectPr w:rsidR="00B229AB" w:rsidRPr="00792F33" w:rsidSect="00153B63">
          <w:type w:val="continuous"/>
          <w:pgSz w:w="11906" w:h="16838"/>
          <w:pgMar w:top="1440" w:right="1021" w:bottom="1440" w:left="1021" w:header="709" w:footer="709" w:gutter="0"/>
          <w:cols w:num="2" w:space="397"/>
          <w:docGrid w:linePitch="360"/>
        </w:sectPr>
      </w:pPr>
      <w:r w:rsidRPr="00792F33">
        <w:rPr>
          <w:rFonts w:eastAsia="Times New Roman"/>
          <w:color w:val="000000" w:themeColor="text1"/>
        </w:rPr>
        <w:t>ensuring local and regional economic benefits are delivered by all Queensland Government agencies, backed by an effective compliance and referral unit</w:t>
      </w:r>
      <w:r w:rsidR="0058053B" w:rsidRPr="00792F33">
        <w:rPr>
          <w:color w:val="000000" w:themeColor="text1"/>
        </w:rPr>
        <w:t>.</w:t>
      </w:r>
    </w:p>
    <w:p w14:paraId="6D769CC5" w14:textId="77777777" w:rsidR="00DC4782" w:rsidRPr="00DC4782" w:rsidRDefault="00DC4782" w:rsidP="00DC4782">
      <w:pPr>
        <w:pStyle w:val="Style3"/>
        <w:rPr>
          <w:color w:val="auto"/>
        </w:rPr>
      </w:pPr>
      <w:r w:rsidRPr="00DC4782">
        <w:rPr>
          <w:color w:val="auto"/>
        </w:rPr>
        <w:lastRenderedPageBreak/>
        <w:t>Clarke Creek school kids say thanks</w:t>
      </w:r>
    </w:p>
    <w:p w14:paraId="7A692A33" w14:textId="77777777" w:rsidR="00DC4782" w:rsidRPr="00E05961" w:rsidRDefault="00DC4782" w:rsidP="00DC4782">
      <w:pPr>
        <w:pStyle w:val="Bullets"/>
        <w:numPr>
          <w:ilvl w:val="0"/>
          <w:numId w:val="0"/>
        </w:numPr>
        <w:ind w:left="-10"/>
      </w:pPr>
      <w:r w:rsidRPr="00E05961">
        <w:t>When Tropical Cyclone Debbie swept across the Queensland coastline, many schools were badly damaged. Local Building and</w:t>
      </w:r>
      <w:r>
        <w:t xml:space="preserve"> </w:t>
      </w:r>
      <w:r w:rsidRPr="00E05961">
        <w:t>Asset Services teams across the State helped get many schools back up and running, including at Clarke Creek State School.</w:t>
      </w:r>
    </w:p>
    <w:p w14:paraId="2F84D174" w14:textId="77777777" w:rsidR="00DC4782" w:rsidRPr="00E05961" w:rsidRDefault="00DC4782" w:rsidP="00DC4782">
      <w:pPr>
        <w:pStyle w:val="Bullets"/>
        <w:numPr>
          <w:ilvl w:val="0"/>
          <w:numId w:val="0"/>
        </w:numPr>
        <w:ind w:left="-10"/>
      </w:pPr>
      <w:r w:rsidRPr="00E05961">
        <w:t>Staff received tokens of appreciation from the school’s students for their efforts in managing repairs and renovations, including</w:t>
      </w:r>
      <w:r>
        <w:t xml:space="preserve"> </w:t>
      </w:r>
      <w:r w:rsidRPr="00E05961">
        <w:t>the removal of large fallen trees on the school grounds.</w:t>
      </w:r>
    </w:p>
    <w:p w14:paraId="15640A69" w14:textId="77777777" w:rsidR="00DC4782" w:rsidRPr="00096C6C" w:rsidRDefault="00DC4782" w:rsidP="00DC4782">
      <w:pPr>
        <w:pStyle w:val="Bullets"/>
        <w:numPr>
          <w:ilvl w:val="0"/>
          <w:numId w:val="0"/>
        </w:numPr>
        <w:ind w:left="-10"/>
      </w:pPr>
      <w:r w:rsidRPr="00096C6C">
        <w:t>IMAGE 1: Letter from child 1 from Clarke Creek school</w:t>
      </w:r>
    </w:p>
    <w:p w14:paraId="16CF530E" w14:textId="77777777" w:rsidR="00DC4782" w:rsidRDefault="00DC4782" w:rsidP="00DC4782">
      <w:pPr>
        <w:pStyle w:val="Bullets"/>
        <w:numPr>
          <w:ilvl w:val="0"/>
          <w:numId w:val="0"/>
        </w:numPr>
        <w:ind w:left="-10"/>
      </w:pPr>
    </w:p>
    <w:p w14:paraId="39F02B9F" w14:textId="6670F762" w:rsidR="00DC4782" w:rsidRPr="00096C6C" w:rsidRDefault="00DC4782" w:rsidP="00DC4782">
      <w:pPr>
        <w:pStyle w:val="Bullets"/>
        <w:numPr>
          <w:ilvl w:val="0"/>
          <w:numId w:val="0"/>
        </w:numPr>
        <w:ind w:left="-10"/>
      </w:pPr>
      <w:r w:rsidRPr="00096C6C">
        <w:t xml:space="preserve">Text: </w:t>
      </w:r>
    </w:p>
    <w:p w14:paraId="4DC6458F" w14:textId="77777777" w:rsidR="00DC4782" w:rsidRPr="00E05961" w:rsidRDefault="00DC4782" w:rsidP="00DC4782">
      <w:pPr>
        <w:pStyle w:val="Bullets"/>
        <w:numPr>
          <w:ilvl w:val="0"/>
          <w:numId w:val="0"/>
        </w:numPr>
        <w:ind w:left="-10"/>
      </w:pPr>
      <w:r w:rsidRPr="00D675BC">
        <w:t>Dear Ashley, David and c</w:t>
      </w:r>
      <w:r w:rsidRPr="00E05961">
        <w:t xml:space="preserve">hainsaw gang. </w:t>
      </w:r>
    </w:p>
    <w:p w14:paraId="4A674DC6" w14:textId="77777777" w:rsidR="00DC4782" w:rsidRPr="00E05961" w:rsidRDefault="00DC4782" w:rsidP="00DC4782">
      <w:pPr>
        <w:pStyle w:val="Bullets"/>
        <w:numPr>
          <w:ilvl w:val="0"/>
          <w:numId w:val="0"/>
        </w:numPr>
        <w:ind w:left="-10"/>
      </w:pPr>
      <w:r w:rsidRPr="00E05961">
        <w:t xml:space="preserve">Thank you for supporting us and our school. Without you we would not be here today. You have done a lot for us and we can’t thank you enough. The grounds look wonderful and you mad (sic) the area safe to play and work. </w:t>
      </w:r>
    </w:p>
    <w:p w14:paraId="781F8210" w14:textId="77777777" w:rsidR="00DC4782" w:rsidRPr="00E05961" w:rsidRDefault="00DC4782" w:rsidP="00DC4782">
      <w:pPr>
        <w:pStyle w:val="Bullets"/>
        <w:numPr>
          <w:ilvl w:val="0"/>
          <w:numId w:val="0"/>
        </w:numPr>
        <w:ind w:left="-10"/>
      </w:pPr>
      <w:r w:rsidRPr="00E05961">
        <w:t>Kind regards, Max, year 4.</w:t>
      </w:r>
    </w:p>
    <w:p w14:paraId="6BCD978C" w14:textId="77777777" w:rsidR="00DC4782" w:rsidRPr="00E05961" w:rsidRDefault="00DC4782" w:rsidP="00DC4782">
      <w:pPr>
        <w:pStyle w:val="Bullets"/>
        <w:numPr>
          <w:ilvl w:val="0"/>
          <w:numId w:val="0"/>
        </w:numPr>
        <w:ind w:left="-10"/>
      </w:pPr>
      <w:r w:rsidRPr="00E05961">
        <w:t>IMAGE 2: Letter from child 2 from Clarke Creek school</w:t>
      </w:r>
    </w:p>
    <w:p w14:paraId="382ED500" w14:textId="77777777" w:rsidR="00DC4782" w:rsidRDefault="00DC4782" w:rsidP="00DC4782">
      <w:pPr>
        <w:pStyle w:val="Bullets"/>
        <w:numPr>
          <w:ilvl w:val="0"/>
          <w:numId w:val="0"/>
        </w:numPr>
        <w:ind w:left="-10"/>
      </w:pPr>
    </w:p>
    <w:p w14:paraId="493BB9E3" w14:textId="376EFEB9" w:rsidR="00DC4782" w:rsidRPr="00E05961" w:rsidRDefault="00DC4782" w:rsidP="00DC4782">
      <w:pPr>
        <w:pStyle w:val="Bullets"/>
        <w:numPr>
          <w:ilvl w:val="0"/>
          <w:numId w:val="0"/>
        </w:numPr>
        <w:ind w:left="-10"/>
      </w:pPr>
      <w:r w:rsidRPr="00E05961">
        <w:t xml:space="preserve">Text: </w:t>
      </w:r>
    </w:p>
    <w:p w14:paraId="13572630" w14:textId="77777777" w:rsidR="00DC4782" w:rsidRPr="00E05961" w:rsidRDefault="00DC4782" w:rsidP="00DC4782">
      <w:pPr>
        <w:pStyle w:val="Bullets"/>
        <w:numPr>
          <w:ilvl w:val="0"/>
          <w:numId w:val="0"/>
        </w:numPr>
        <w:ind w:left="-10"/>
      </w:pPr>
      <w:r w:rsidRPr="00E05961">
        <w:t>Dear Ashley and the Chainsaw Gang</w:t>
      </w:r>
    </w:p>
    <w:p w14:paraId="1160C86C" w14:textId="77777777" w:rsidR="00DC4782" w:rsidRPr="00E05961" w:rsidRDefault="00DC4782" w:rsidP="00DC4782">
      <w:pPr>
        <w:pStyle w:val="Bullets"/>
        <w:numPr>
          <w:ilvl w:val="0"/>
          <w:numId w:val="0"/>
        </w:numPr>
        <w:ind w:left="-10"/>
      </w:pPr>
      <w:r w:rsidRPr="00E05961">
        <w:t>Thank you so much for bringing brightness to our school. We really appreciate the wonderful thing people have done for us. If you could see them you would see a giant smile you helped put there.</w:t>
      </w:r>
    </w:p>
    <w:p w14:paraId="259B407D" w14:textId="77777777" w:rsidR="00DC4782" w:rsidRDefault="00DC4782" w:rsidP="00DC4782">
      <w:pPr>
        <w:pStyle w:val="Bullets"/>
        <w:numPr>
          <w:ilvl w:val="0"/>
          <w:numId w:val="0"/>
        </w:numPr>
        <w:ind w:left="350" w:hanging="350"/>
      </w:pPr>
    </w:p>
    <w:p w14:paraId="30BF14AD" w14:textId="10816BE2" w:rsidR="00153B63" w:rsidRDefault="00DC4782" w:rsidP="00DC4782">
      <w:pPr>
        <w:pStyle w:val="Bullets"/>
        <w:numPr>
          <w:ilvl w:val="0"/>
          <w:numId w:val="0"/>
        </w:numPr>
        <w:ind w:left="350" w:hanging="350"/>
        <w:sectPr w:rsidR="00153B63" w:rsidSect="00E05961">
          <w:pgSz w:w="11906" w:h="16838"/>
          <w:pgMar w:top="1440" w:right="1021" w:bottom="1440" w:left="1021" w:header="709" w:footer="709" w:gutter="0"/>
          <w:cols w:space="397"/>
          <w:docGrid w:linePitch="360"/>
        </w:sectPr>
      </w:pPr>
      <w:r w:rsidRPr="00E05961">
        <w:t>T</w:t>
      </w:r>
      <w:r>
        <w:t>hank you from Ben. (year 5)</w:t>
      </w:r>
    </w:p>
    <w:p w14:paraId="68E69D5D" w14:textId="017CEDE5" w:rsidR="00153B63" w:rsidRDefault="00153B63" w:rsidP="00792F33">
      <w:pPr>
        <w:pStyle w:val="Heading3"/>
        <w:sectPr w:rsidR="00153B63" w:rsidSect="00153B63">
          <w:type w:val="continuous"/>
          <w:pgSz w:w="11906" w:h="16838"/>
          <w:pgMar w:top="1440" w:right="1021" w:bottom="1440" w:left="1021" w:header="709" w:footer="709" w:gutter="0"/>
          <w:cols w:num="2" w:space="708"/>
          <w:docGrid w:linePitch="360"/>
        </w:sectPr>
      </w:pPr>
    </w:p>
    <w:p w14:paraId="332079BA" w14:textId="0840B133" w:rsidR="00352DBD" w:rsidRPr="00216984" w:rsidRDefault="00352DBD" w:rsidP="00792F33">
      <w:pPr>
        <w:pStyle w:val="Heading3"/>
      </w:pPr>
      <w:r w:rsidRPr="00CB45B4">
        <w:t>Service Standards</w:t>
      </w:r>
      <w:r w:rsidR="00FA69D6">
        <w:t xml:space="preserve"> – Our Results for 2016–17</w:t>
      </w:r>
    </w:p>
    <w:tbl>
      <w:tblPr>
        <w:tblW w:w="9888" w:type="dxa"/>
        <w:tblInd w:w="-19" w:type="dxa"/>
        <w:tblBorders>
          <w:top w:val="single" w:sz="4" w:space="0" w:color="6666FF"/>
          <w:left w:val="single" w:sz="4" w:space="0" w:color="6666FF"/>
          <w:bottom w:val="single" w:sz="4" w:space="0" w:color="6666FF"/>
          <w:right w:val="single" w:sz="4" w:space="0" w:color="6666FF"/>
          <w:insideH w:val="single" w:sz="4" w:space="0" w:color="6666FF"/>
          <w:insideV w:val="single" w:sz="4" w:space="0" w:color="6666FF"/>
        </w:tblBorders>
        <w:tblLayout w:type="fixed"/>
        <w:tblLook w:val="01E0" w:firstRow="1" w:lastRow="1" w:firstColumn="1" w:lastColumn="1" w:noHBand="0" w:noVBand="0"/>
      </w:tblPr>
      <w:tblGrid>
        <w:gridCol w:w="7240"/>
        <w:gridCol w:w="1389"/>
        <w:gridCol w:w="1259"/>
      </w:tblGrid>
      <w:tr w:rsidR="00D363EC" w:rsidRPr="00170D49" w14:paraId="5B5741F6" w14:textId="77777777" w:rsidTr="00792F33">
        <w:trPr>
          <w:tblHeader/>
        </w:trPr>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tcPr>
          <w:p w14:paraId="7FEA9441" w14:textId="31BF6D01" w:rsidR="00D363EC" w:rsidRPr="00455FE3" w:rsidRDefault="00FA69D6" w:rsidP="00CF0A4C">
            <w:pPr>
              <w:pStyle w:val="TableTextHeading"/>
              <w:rPr>
                <w:sz w:val="22"/>
              </w:rPr>
            </w:pPr>
            <w:r w:rsidRPr="00455FE3">
              <w:rPr>
                <w:sz w:val="22"/>
              </w:rPr>
              <w:t>Procurement Services</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5F33A68C" w14:textId="3233DBA2" w:rsidR="00D363EC" w:rsidRPr="00455FE3" w:rsidRDefault="00D363EC" w:rsidP="00CF0A4C">
            <w:pPr>
              <w:pStyle w:val="TableTextHeading"/>
              <w:rPr>
                <w:sz w:val="22"/>
              </w:rPr>
            </w:pPr>
            <w:r w:rsidRPr="00455FE3">
              <w:rPr>
                <w:sz w:val="22"/>
              </w:rPr>
              <w:t>2016–17</w:t>
            </w:r>
          </w:p>
          <w:p w14:paraId="5B8934C1" w14:textId="77777777" w:rsidR="00D363EC" w:rsidRPr="00455FE3" w:rsidRDefault="00D363EC" w:rsidP="00CF0A4C">
            <w:pPr>
              <w:pStyle w:val="TableTextHeading"/>
              <w:rPr>
                <w:sz w:val="22"/>
              </w:rPr>
            </w:pPr>
            <w:r w:rsidRPr="00455FE3">
              <w:rPr>
                <w:sz w:val="22"/>
              </w:rPr>
              <w:t>Target/Est.</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39B9BF88" w14:textId="725B8E28" w:rsidR="00D363EC" w:rsidRPr="00455FE3" w:rsidRDefault="00D363EC" w:rsidP="00CF0A4C">
            <w:pPr>
              <w:pStyle w:val="TableTextHeading"/>
              <w:rPr>
                <w:sz w:val="22"/>
              </w:rPr>
            </w:pPr>
            <w:r w:rsidRPr="00455FE3">
              <w:rPr>
                <w:sz w:val="22"/>
              </w:rPr>
              <w:t>2016–17</w:t>
            </w:r>
          </w:p>
          <w:p w14:paraId="25F5A212" w14:textId="77777777" w:rsidR="00D363EC" w:rsidRPr="00455FE3" w:rsidRDefault="00D363EC" w:rsidP="00CF0A4C">
            <w:pPr>
              <w:pStyle w:val="TableTextHeading"/>
              <w:rPr>
                <w:sz w:val="22"/>
              </w:rPr>
            </w:pPr>
            <w:r w:rsidRPr="00455FE3">
              <w:rPr>
                <w:sz w:val="22"/>
              </w:rPr>
              <w:t>Actual</w:t>
            </w:r>
          </w:p>
        </w:tc>
      </w:tr>
      <w:tr w:rsidR="00D363EC" w:rsidRPr="00455FE3" w14:paraId="61400B47" w14:textId="77777777" w:rsidTr="00792F33">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D8A67C3" w14:textId="573C8A9D" w:rsidR="00D363EC" w:rsidRPr="00455FE3" w:rsidRDefault="00DC05F5" w:rsidP="00CF0A4C">
            <w:pPr>
              <w:pStyle w:val="TableText"/>
              <w:rPr>
                <w:b/>
                <w:sz w:val="22"/>
              </w:rPr>
            </w:pPr>
            <w:r w:rsidRPr="00455FE3">
              <w:rPr>
                <w:b/>
                <w:sz w:val="22"/>
              </w:rPr>
              <w:t xml:space="preserve">Effectiveness </w:t>
            </w:r>
            <w:r w:rsidR="00D363EC" w:rsidRPr="00455FE3">
              <w:rPr>
                <w:b/>
                <w:sz w:val="22"/>
              </w:rPr>
              <w:t>measures</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11F0C0F4" w14:textId="77777777" w:rsidR="00D363EC" w:rsidRPr="00455FE3" w:rsidRDefault="00D363EC" w:rsidP="00CF0A4C">
            <w:pPr>
              <w:pStyle w:val="TableTextRight"/>
              <w:rPr>
                <w:sz w:val="22"/>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5C270D8F" w14:textId="77777777" w:rsidR="00D363EC" w:rsidRPr="00455FE3" w:rsidRDefault="00D363EC" w:rsidP="00CF0A4C">
            <w:pPr>
              <w:pStyle w:val="TableTextRight"/>
              <w:rPr>
                <w:sz w:val="22"/>
              </w:rPr>
            </w:pPr>
          </w:p>
        </w:tc>
      </w:tr>
      <w:tr w:rsidR="00D363EC" w:rsidRPr="00455FE3" w14:paraId="3FB008CE" w14:textId="77777777" w:rsidTr="00792F33">
        <w:tc>
          <w:tcPr>
            <w:tcW w:w="7240" w:type="dxa"/>
            <w:tcBorders>
              <w:top w:val="single" w:sz="4" w:space="0" w:color="000000" w:themeColor="text1"/>
              <w:left w:val="single" w:sz="4" w:space="0" w:color="000000" w:themeColor="text1"/>
              <w:bottom w:val="nil"/>
              <w:right w:val="single" w:sz="4" w:space="0" w:color="000000" w:themeColor="text1"/>
            </w:tcBorders>
            <w:vAlign w:val="bottom"/>
            <w:hideMark/>
          </w:tcPr>
          <w:p w14:paraId="70FD84F2" w14:textId="77777777" w:rsidR="00D363EC" w:rsidRPr="00455FE3" w:rsidRDefault="00D363EC" w:rsidP="00CF0A4C">
            <w:pPr>
              <w:pStyle w:val="TableText"/>
              <w:rPr>
                <w:sz w:val="22"/>
              </w:rPr>
            </w:pPr>
            <w:r w:rsidRPr="00455FE3">
              <w:rPr>
                <w:sz w:val="22"/>
              </w:rPr>
              <w:t>Overall satisfaction with advice and support provided by the Office of the Chief Advisor – Procurement (internal to government)</w:t>
            </w:r>
          </w:p>
        </w:tc>
        <w:tc>
          <w:tcPr>
            <w:tcW w:w="1389" w:type="dxa"/>
            <w:tcBorders>
              <w:top w:val="single" w:sz="4" w:space="0" w:color="000000" w:themeColor="text1"/>
              <w:left w:val="single" w:sz="4" w:space="0" w:color="000000" w:themeColor="text1"/>
              <w:bottom w:val="nil"/>
              <w:right w:val="single" w:sz="4" w:space="0" w:color="000000" w:themeColor="text1"/>
            </w:tcBorders>
            <w:vAlign w:val="bottom"/>
          </w:tcPr>
          <w:p w14:paraId="2944EC02" w14:textId="77777777" w:rsidR="00D363EC" w:rsidRPr="00455FE3" w:rsidRDefault="00D363EC" w:rsidP="00CF0A4C">
            <w:pPr>
              <w:pStyle w:val="TableTextRight"/>
              <w:rPr>
                <w:sz w:val="22"/>
              </w:rPr>
            </w:pPr>
            <w:r w:rsidRPr="00455FE3">
              <w:rPr>
                <w:sz w:val="22"/>
              </w:rPr>
              <w:t>..</w:t>
            </w:r>
          </w:p>
        </w:tc>
        <w:tc>
          <w:tcPr>
            <w:tcW w:w="1259" w:type="dxa"/>
            <w:tcBorders>
              <w:top w:val="single" w:sz="4" w:space="0" w:color="000000" w:themeColor="text1"/>
              <w:left w:val="single" w:sz="4" w:space="0" w:color="000000" w:themeColor="text1"/>
              <w:bottom w:val="nil"/>
              <w:right w:val="single" w:sz="4" w:space="0" w:color="000000" w:themeColor="text1"/>
            </w:tcBorders>
            <w:vAlign w:val="bottom"/>
          </w:tcPr>
          <w:p w14:paraId="541EE124" w14:textId="1103E32E" w:rsidR="00D363EC" w:rsidRPr="00455FE3" w:rsidRDefault="00D363EC" w:rsidP="00CF0A4C">
            <w:pPr>
              <w:pStyle w:val="TableTextRight"/>
              <w:rPr>
                <w:sz w:val="22"/>
              </w:rPr>
            </w:pPr>
            <w:r w:rsidRPr="00455FE3">
              <w:rPr>
                <w:sz w:val="22"/>
              </w:rPr>
              <w:t>56%</w:t>
            </w:r>
          </w:p>
        </w:tc>
      </w:tr>
      <w:tr w:rsidR="00D363EC" w:rsidRPr="00455FE3" w14:paraId="19B7B58C" w14:textId="77777777" w:rsidTr="00792F33">
        <w:tc>
          <w:tcPr>
            <w:tcW w:w="7240" w:type="dxa"/>
            <w:tcBorders>
              <w:top w:val="nil"/>
              <w:left w:val="single" w:sz="4" w:space="0" w:color="000000" w:themeColor="text1"/>
              <w:bottom w:val="single" w:sz="4" w:space="0" w:color="000000" w:themeColor="text1"/>
              <w:right w:val="single" w:sz="4" w:space="0" w:color="000000" w:themeColor="text1"/>
            </w:tcBorders>
            <w:vAlign w:val="bottom"/>
          </w:tcPr>
          <w:p w14:paraId="5F4EA1CC" w14:textId="1F1F2045" w:rsidR="00D363EC" w:rsidRPr="00455FE3" w:rsidRDefault="00D363EC" w:rsidP="00CF0A4C">
            <w:pPr>
              <w:pStyle w:val="TableText"/>
              <w:rPr>
                <w:sz w:val="18"/>
                <w:szCs w:val="14"/>
              </w:rPr>
            </w:pPr>
            <w:r w:rsidRPr="00455FE3">
              <w:rPr>
                <w:sz w:val="18"/>
                <w:szCs w:val="14"/>
              </w:rPr>
              <w:t>There is no 2016–17 Target/Estimate as this was a new measure introduced in 2016–17 with baseline data collected in 2016–17.</w:t>
            </w:r>
          </w:p>
        </w:tc>
        <w:tc>
          <w:tcPr>
            <w:tcW w:w="1389" w:type="dxa"/>
            <w:tcBorders>
              <w:top w:val="nil"/>
              <w:left w:val="single" w:sz="4" w:space="0" w:color="000000" w:themeColor="text1"/>
              <w:bottom w:val="single" w:sz="4" w:space="0" w:color="000000" w:themeColor="text1"/>
              <w:right w:val="single" w:sz="4" w:space="0" w:color="000000" w:themeColor="text1"/>
            </w:tcBorders>
            <w:vAlign w:val="bottom"/>
          </w:tcPr>
          <w:p w14:paraId="6F63A210" w14:textId="77777777" w:rsidR="00D363EC" w:rsidRPr="00455FE3" w:rsidRDefault="00D363EC" w:rsidP="00CF0A4C">
            <w:pPr>
              <w:pStyle w:val="TableTextRight"/>
              <w:rPr>
                <w:sz w:val="22"/>
              </w:rPr>
            </w:pPr>
          </w:p>
        </w:tc>
        <w:tc>
          <w:tcPr>
            <w:tcW w:w="1259" w:type="dxa"/>
            <w:tcBorders>
              <w:top w:val="nil"/>
              <w:left w:val="single" w:sz="4" w:space="0" w:color="000000" w:themeColor="text1"/>
              <w:bottom w:val="single" w:sz="4" w:space="0" w:color="000000" w:themeColor="text1"/>
              <w:right w:val="single" w:sz="4" w:space="0" w:color="000000" w:themeColor="text1"/>
            </w:tcBorders>
            <w:vAlign w:val="bottom"/>
          </w:tcPr>
          <w:p w14:paraId="5C4D3A05" w14:textId="77777777" w:rsidR="00D363EC" w:rsidRPr="00455FE3" w:rsidRDefault="00D363EC" w:rsidP="00CF0A4C">
            <w:pPr>
              <w:pStyle w:val="TableTextRight"/>
              <w:rPr>
                <w:sz w:val="22"/>
              </w:rPr>
            </w:pPr>
          </w:p>
        </w:tc>
      </w:tr>
      <w:tr w:rsidR="00D363EC" w:rsidRPr="00455FE3" w14:paraId="375FBF30" w14:textId="77777777" w:rsidTr="00792F33">
        <w:tc>
          <w:tcPr>
            <w:tcW w:w="7240" w:type="dxa"/>
            <w:tcBorders>
              <w:top w:val="single" w:sz="4" w:space="0" w:color="000000" w:themeColor="text1"/>
              <w:left w:val="single" w:sz="4" w:space="0" w:color="000000" w:themeColor="text1"/>
              <w:bottom w:val="nil"/>
              <w:right w:val="single" w:sz="4" w:space="0" w:color="000000" w:themeColor="text1"/>
            </w:tcBorders>
            <w:vAlign w:val="bottom"/>
            <w:hideMark/>
          </w:tcPr>
          <w:p w14:paraId="37BC8CA2" w14:textId="77777777" w:rsidR="00D363EC" w:rsidRPr="00455FE3" w:rsidRDefault="00D363EC" w:rsidP="00CF0A4C">
            <w:pPr>
              <w:pStyle w:val="TableText"/>
              <w:rPr>
                <w:sz w:val="22"/>
              </w:rPr>
            </w:pPr>
            <w:r w:rsidRPr="00455FE3">
              <w:rPr>
                <w:sz w:val="22"/>
              </w:rPr>
              <w:t>Overall satisfaction with advice and support provided by the Office of the Chief Advisor – Procurement (external to government)</w:t>
            </w:r>
          </w:p>
        </w:tc>
        <w:tc>
          <w:tcPr>
            <w:tcW w:w="1389" w:type="dxa"/>
            <w:tcBorders>
              <w:top w:val="single" w:sz="4" w:space="0" w:color="000000" w:themeColor="text1"/>
              <w:left w:val="single" w:sz="4" w:space="0" w:color="000000" w:themeColor="text1"/>
              <w:bottom w:val="nil"/>
              <w:right w:val="single" w:sz="4" w:space="0" w:color="000000" w:themeColor="text1"/>
            </w:tcBorders>
            <w:vAlign w:val="bottom"/>
          </w:tcPr>
          <w:p w14:paraId="63B030A5" w14:textId="77777777" w:rsidR="00D363EC" w:rsidRPr="00455FE3" w:rsidRDefault="00D363EC" w:rsidP="00CF0A4C">
            <w:pPr>
              <w:pStyle w:val="TableTextRight"/>
              <w:rPr>
                <w:sz w:val="22"/>
              </w:rPr>
            </w:pPr>
            <w:r w:rsidRPr="00455FE3">
              <w:rPr>
                <w:sz w:val="22"/>
              </w:rPr>
              <w:t>..</w:t>
            </w:r>
          </w:p>
        </w:tc>
        <w:tc>
          <w:tcPr>
            <w:tcW w:w="1259" w:type="dxa"/>
            <w:tcBorders>
              <w:top w:val="single" w:sz="4" w:space="0" w:color="000000" w:themeColor="text1"/>
              <w:left w:val="single" w:sz="4" w:space="0" w:color="000000" w:themeColor="text1"/>
              <w:bottom w:val="nil"/>
              <w:right w:val="single" w:sz="4" w:space="0" w:color="000000" w:themeColor="text1"/>
            </w:tcBorders>
            <w:vAlign w:val="bottom"/>
          </w:tcPr>
          <w:p w14:paraId="7947178F" w14:textId="4B0D2AAA" w:rsidR="00D363EC" w:rsidRPr="00455FE3" w:rsidRDefault="00D363EC" w:rsidP="00CF0A4C">
            <w:pPr>
              <w:pStyle w:val="TableTextRight"/>
              <w:rPr>
                <w:sz w:val="22"/>
              </w:rPr>
            </w:pPr>
            <w:r w:rsidRPr="00455FE3">
              <w:rPr>
                <w:sz w:val="22"/>
              </w:rPr>
              <w:t>75%</w:t>
            </w:r>
          </w:p>
        </w:tc>
      </w:tr>
      <w:tr w:rsidR="00D363EC" w:rsidRPr="00455FE3" w14:paraId="64F19212" w14:textId="77777777" w:rsidTr="00792F33">
        <w:tc>
          <w:tcPr>
            <w:tcW w:w="7240" w:type="dxa"/>
            <w:tcBorders>
              <w:top w:val="nil"/>
              <w:left w:val="single" w:sz="4" w:space="0" w:color="000000" w:themeColor="text1"/>
              <w:bottom w:val="single" w:sz="4" w:space="0" w:color="000000" w:themeColor="text1"/>
              <w:right w:val="single" w:sz="4" w:space="0" w:color="000000" w:themeColor="text1"/>
            </w:tcBorders>
            <w:vAlign w:val="bottom"/>
          </w:tcPr>
          <w:p w14:paraId="6F366030" w14:textId="478EE80B" w:rsidR="00D363EC" w:rsidRPr="00455FE3" w:rsidRDefault="00D363EC" w:rsidP="00CF0A4C">
            <w:pPr>
              <w:pStyle w:val="TableText"/>
              <w:rPr>
                <w:sz w:val="18"/>
                <w:szCs w:val="14"/>
              </w:rPr>
            </w:pPr>
            <w:r w:rsidRPr="00455FE3">
              <w:rPr>
                <w:sz w:val="18"/>
                <w:szCs w:val="14"/>
              </w:rPr>
              <w:t>There is no 2016–17 target/estimate as this was a new measure introduced in 2016–17 with baseline data collected in 2016–17.</w:t>
            </w:r>
          </w:p>
        </w:tc>
        <w:tc>
          <w:tcPr>
            <w:tcW w:w="1389" w:type="dxa"/>
            <w:tcBorders>
              <w:top w:val="nil"/>
              <w:left w:val="single" w:sz="4" w:space="0" w:color="000000" w:themeColor="text1"/>
              <w:bottom w:val="single" w:sz="4" w:space="0" w:color="000000" w:themeColor="text1"/>
              <w:right w:val="single" w:sz="4" w:space="0" w:color="000000" w:themeColor="text1"/>
            </w:tcBorders>
            <w:vAlign w:val="bottom"/>
          </w:tcPr>
          <w:p w14:paraId="053ECA54" w14:textId="77777777" w:rsidR="00D363EC" w:rsidRPr="00455FE3" w:rsidRDefault="00D363EC" w:rsidP="00CF0A4C">
            <w:pPr>
              <w:pStyle w:val="TableTextRight"/>
              <w:rPr>
                <w:sz w:val="22"/>
              </w:rPr>
            </w:pPr>
          </w:p>
        </w:tc>
        <w:tc>
          <w:tcPr>
            <w:tcW w:w="1259" w:type="dxa"/>
            <w:tcBorders>
              <w:top w:val="nil"/>
              <w:left w:val="single" w:sz="4" w:space="0" w:color="000000" w:themeColor="text1"/>
              <w:bottom w:val="single" w:sz="4" w:space="0" w:color="000000" w:themeColor="text1"/>
              <w:right w:val="single" w:sz="4" w:space="0" w:color="000000" w:themeColor="text1"/>
            </w:tcBorders>
            <w:vAlign w:val="bottom"/>
          </w:tcPr>
          <w:p w14:paraId="54E4B49B" w14:textId="77777777" w:rsidR="00D363EC" w:rsidRPr="00455FE3" w:rsidRDefault="00D363EC" w:rsidP="00CF0A4C">
            <w:pPr>
              <w:pStyle w:val="TableTextRight"/>
              <w:rPr>
                <w:sz w:val="22"/>
              </w:rPr>
            </w:pPr>
          </w:p>
        </w:tc>
      </w:tr>
      <w:tr w:rsidR="00D363EC" w:rsidRPr="00455FE3" w14:paraId="4F2E85D0" w14:textId="77777777" w:rsidTr="00792F33">
        <w:tc>
          <w:tcPr>
            <w:tcW w:w="7240" w:type="dxa"/>
            <w:tcBorders>
              <w:top w:val="single" w:sz="4" w:space="0" w:color="000000" w:themeColor="text1"/>
              <w:left w:val="single" w:sz="4" w:space="0" w:color="4A9A82" w:themeColor="accent3" w:themeShade="BF"/>
              <w:bottom w:val="single" w:sz="4" w:space="0" w:color="000000" w:themeColor="text1"/>
              <w:right w:val="single" w:sz="4" w:space="0" w:color="000000" w:themeColor="text1"/>
            </w:tcBorders>
            <w:shd w:val="clear" w:color="auto" w:fill="BFBFBF" w:themeFill="background1" w:themeFillShade="BF"/>
            <w:vAlign w:val="bottom"/>
          </w:tcPr>
          <w:p w14:paraId="227DAEBB" w14:textId="77777777" w:rsidR="00D363EC" w:rsidRPr="00455FE3" w:rsidRDefault="00D363EC" w:rsidP="00CF0A4C">
            <w:pPr>
              <w:pStyle w:val="TableText"/>
              <w:rPr>
                <w:b/>
                <w:sz w:val="22"/>
              </w:rPr>
            </w:pPr>
            <w:r w:rsidRPr="00455FE3">
              <w:rPr>
                <w:b/>
                <w:sz w:val="22"/>
              </w:rPr>
              <w:t>Efficiency measures</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3938AA80" w14:textId="77777777" w:rsidR="00D363EC" w:rsidRPr="00455FE3" w:rsidRDefault="00D363EC" w:rsidP="00CF0A4C">
            <w:pPr>
              <w:pStyle w:val="TableTextRight"/>
              <w:rPr>
                <w:sz w:val="22"/>
              </w:rPr>
            </w:pPr>
          </w:p>
        </w:tc>
        <w:tc>
          <w:tcPr>
            <w:tcW w:w="1259" w:type="dxa"/>
            <w:tcBorders>
              <w:top w:val="single" w:sz="4" w:space="0" w:color="000000" w:themeColor="text1"/>
              <w:left w:val="single" w:sz="4" w:space="0" w:color="000000" w:themeColor="text1"/>
              <w:bottom w:val="single" w:sz="4" w:space="0" w:color="000000" w:themeColor="text1"/>
              <w:right w:val="single" w:sz="4" w:space="0" w:color="4A9A82" w:themeColor="accent3" w:themeShade="BF"/>
            </w:tcBorders>
            <w:shd w:val="clear" w:color="auto" w:fill="BFBFBF" w:themeFill="background1" w:themeFillShade="BF"/>
            <w:vAlign w:val="bottom"/>
          </w:tcPr>
          <w:p w14:paraId="4DF1C565" w14:textId="77777777" w:rsidR="00D363EC" w:rsidRPr="00455FE3" w:rsidRDefault="00D363EC" w:rsidP="00CF0A4C">
            <w:pPr>
              <w:pStyle w:val="TableTextRight"/>
              <w:rPr>
                <w:sz w:val="22"/>
              </w:rPr>
            </w:pPr>
          </w:p>
        </w:tc>
      </w:tr>
      <w:tr w:rsidR="00D363EC" w:rsidRPr="00455FE3" w14:paraId="74AFF08B" w14:textId="77777777" w:rsidTr="00792F33">
        <w:tc>
          <w:tcPr>
            <w:tcW w:w="7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6D05966" w14:textId="5E060CF6" w:rsidR="00D363EC" w:rsidRPr="00455FE3" w:rsidRDefault="00D363EC" w:rsidP="00CF0A4C">
            <w:pPr>
              <w:pStyle w:val="TableText"/>
              <w:rPr>
                <w:sz w:val="22"/>
              </w:rPr>
            </w:pPr>
            <w:r w:rsidRPr="00455FE3">
              <w:rPr>
                <w:sz w:val="22"/>
              </w:rPr>
              <w:t xml:space="preserve">An efficiency measure is being developed for this service </w:t>
            </w:r>
            <w:r w:rsidR="00FA69D6" w:rsidRPr="00455FE3">
              <w:rPr>
                <w:sz w:val="22"/>
              </w:rPr>
              <w:t xml:space="preserve">area </w:t>
            </w:r>
            <w:r w:rsidRPr="00455FE3">
              <w:rPr>
                <w:sz w:val="22"/>
              </w:rPr>
              <w:t>and will be included in a future Service Delivery Statement.</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0BFA5E" w14:textId="77777777" w:rsidR="00D363EC" w:rsidRPr="00455FE3" w:rsidRDefault="00D363EC" w:rsidP="00CF0A4C">
            <w:pPr>
              <w:pStyle w:val="TableTextRight"/>
              <w:rPr>
                <w:sz w:val="22"/>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A90EBBA" w14:textId="77777777" w:rsidR="00D363EC" w:rsidRPr="00455FE3" w:rsidRDefault="00D363EC" w:rsidP="00CF0A4C">
            <w:pPr>
              <w:pStyle w:val="TableTextRight"/>
              <w:rPr>
                <w:sz w:val="22"/>
              </w:rPr>
            </w:pPr>
          </w:p>
        </w:tc>
      </w:tr>
    </w:tbl>
    <w:p w14:paraId="360147D7" w14:textId="41F85D14" w:rsidR="00566ED7" w:rsidRPr="00455FE3" w:rsidRDefault="00566ED7" w:rsidP="00CF0A4C">
      <w:pPr>
        <w:rPr>
          <w:sz w:val="28"/>
        </w:rPr>
      </w:pPr>
    </w:p>
    <w:p w14:paraId="3B605842" w14:textId="77777777" w:rsidR="00FC3435" w:rsidRPr="00206FC9" w:rsidRDefault="00FC3435" w:rsidP="0004270E">
      <w:pPr>
        <w:pStyle w:val="Heading2"/>
      </w:pPr>
      <w:bookmarkStart w:id="34" w:name="_Toc494984628"/>
      <w:r w:rsidRPr="00206FC9">
        <w:lastRenderedPageBreak/>
        <w:t>Building and Asset Services</w:t>
      </w:r>
      <w:bookmarkEnd w:id="34"/>
    </w:p>
    <w:p w14:paraId="7A26C27A" w14:textId="53B90C48" w:rsidR="00FC3435" w:rsidRPr="00216984" w:rsidRDefault="00FC3435" w:rsidP="00792F33">
      <w:pPr>
        <w:pStyle w:val="Heading3"/>
      </w:pPr>
      <w:r w:rsidRPr="00CB45B4">
        <w:t xml:space="preserve">Our </w:t>
      </w:r>
      <w:r w:rsidR="002E33A4">
        <w:t>O</w:t>
      </w:r>
      <w:r w:rsidRPr="00CB45B4">
        <w:t>bjective</w:t>
      </w:r>
    </w:p>
    <w:p w14:paraId="3BFFBA35" w14:textId="17C59DB3" w:rsidR="00FC3435" w:rsidRPr="00DA6B9A" w:rsidRDefault="00FC3435" w:rsidP="00CF0A4C">
      <w:r w:rsidRPr="00DA6B9A">
        <w:t xml:space="preserve">To partner with </w:t>
      </w:r>
      <w:r w:rsidR="002E33A4">
        <w:t>g</w:t>
      </w:r>
      <w:r w:rsidRPr="00DA6B9A">
        <w:t>overnment agencies to strategically manage their building construction and maintenance activities.</w:t>
      </w:r>
    </w:p>
    <w:p w14:paraId="5C974EB5" w14:textId="4090252F" w:rsidR="00FC3435" w:rsidRPr="00216984" w:rsidRDefault="00FC3435" w:rsidP="00792F33">
      <w:pPr>
        <w:pStyle w:val="Heading3"/>
      </w:pPr>
      <w:r w:rsidRPr="00CB45B4">
        <w:t xml:space="preserve">What </w:t>
      </w:r>
      <w:r w:rsidR="00E03E88">
        <w:t>W</w:t>
      </w:r>
      <w:r w:rsidRPr="00CB45B4">
        <w:t xml:space="preserve">e </w:t>
      </w:r>
      <w:r w:rsidR="00E03E88">
        <w:t>D</w:t>
      </w:r>
      <w:r w:rsidRPr="00CB45B4">
        <w:t>o</w:t>
      </w:r>
    </w:p>
    <w:p w14:paraId="33B34C39" w14:textId="1603F02D" w:rsidR="00FC3435" w:rsidRPr="00DA6B9A" w:rsidRDefault="00FC3435" w:rsidP="00CF0A4C">
      <w:r w:rsidRPr="00DA6B9A">
        <w:t xml:space="preserve">Building and Asset Services, in partnership with Queensland Government agencies, supports strategic asset management by managing risks for diverse building asset portfolios and providing expertise in planning, procurement and delivery of new building infrastructure, asset and facilities management. In doing so, Building and Asset Services works closely with industry and local suppliers to maximise value for money procurement and contract management outcomes. This assists government agencies to meet their service delivery outcomes for the community, and provide employment opportunities across the state including regional and remote communities of Queensland. </w:t>
      </w:r>
    </w:p>
    <w:p w14:paraId="7EBD5F43" w14:textId="77777777" w:rsidR="00C8277C" w:rsidRDefault="00C8277C" w:rsidP="00792F33">
      <w:pPr>
        <w:pStyle w:val="Heading3"/>
        <w:sectPr w:rsidR="00C8277C" w:rsidSect="00895349">
          <w:type w:val="continuous"/>
          <w:pgSz w:w="11906" w:h="16838"/>
          <w:pgMar w:top="1440" w:right="1021" w:bottom="1440" w:left="1021" w:header="709" w:footer="709" w:gutter="0"/>
          <w:cols w:space="708"/>
          <w:docGrid w:linePitch="360"/>
        </w:sectPr>
      </w:pPr>
    </w:p>
    <w:p w14:paraId="34DE6C89" w14:textId="693898B8" w:rsidR="00374A4A" w:rsidRPr="004F3CFF" w:rsidRDefault="00374A4A" w:rsidP="00792F33">
      <w:pPr>
        <w:pStyle w:val="Heading3"/>
      </w:pPr>
      <w:r>
        <w:t>Our A</w:t>
      </w:r>
      <w:r w:rsidRPr="004F3CFF">
        <w:t>chievements</w:t>
      </w:r>
    </w:p>
    <w:p w14:paraId="737C96AD" w14:textId="0FCDE777" w:rsidR="003416E2" w:rsidRDefault="003416E2" w:rsidP="00CF0A4C">
      <w:r w:rsidRPr="00F071D2">
        <w:t xml:space="preserve">In </w:t>
      </w:r>
      <w:r>
        <w:t>2016</w:t>
      </w:r>
      <w:r w:rsidR="00055E76" w:rsidRPr="0CF27971">
        <w:t>–</w:t>
      </w:r>
      <w:r>
        <w:t>17, we</w:t>
      </w:r>
      <w:r w:rsidRPr="0CF27971">
        <w:t>:</w:t>
      </w:r>
    </w:p>
    <w:p w14:paraId="2E9643E8" w14:textId="0D64551B" w:rsidR="009E2F0A" w:rsidRDefault="009E2F0A" w:rsidP="00096C6C">
      <w:pPr>
        <w:pStyle w:val="Bullets"/>
      </w:pPr>
      <w:r>
        <w:t>partnered with Housing and Homelessness Services and Government Employee Housing</w:t>
      </w:r>
      <w:r w:rsidR="00E03E88">
        <w:t>,</w:t>
      </w:r>
      <w:r>
        <w:t xml:space="preserve"> to develop a strategy to deliver integrated maintenance and upgrade services on all </w:t>
      </w:r>
      <w:r w:rsidR="00AA3FBA">
        <w:t>government housing stock</w:t>
      </w:r>
    </w:p>
    <w:p w14:paraId="55B7E948" w14:textId="1170C0BE" w:rsidR="009E2F0A" w:rsidRPr="00D927CF" w:rsidRDefault="009E2F0A" w:rsidP="00096C6C">
      <w:pPr>
        <w:pStyle w:val="Bullets"/>
      </w:pPr>
      <w:r w:rsidRPr="00D927CF">
        <w:t>continued to work closely with the Department of Science, Information Technology and Innovation on the development of a whole-of-government asset life cycle management system that aims to facilitate better longer term strategic planning and budget allocations</w:t>
      </w:r>
    </w:p>
    <w:p w14:paraId="0B7D4C5F" w14:textId="133FA9CE" w:rsidR="009E2F0A" w:rsidRDefault="009E2F0A" w:rsidP="00096C6C">
      <w:pPr>
        <w:pStyle w:val="Bullets"/>
      </w:pPr>
      <w:r w:rsidRPr="00E82642">
        <w:t xml:space="preserve">partnered with Aboriginal and Torres Strait Islander </w:t>
      </w:r>
      <w:r w:rsidR="005A0252">
        <w:t>C</w:t>
      </w:r>
      <w:r w:rsidRPr="00E82642">
        <w:t xml:space="preserve">ouncils to successfully deliver </w:t>
      </w:r>
      <w:r>
        <w:t>maintenance services and build capability and capacity in these communities by supporting local employment and l</w:t>
      </w:r>
      <w:r w:rsidR="00AA3FBA">
        <w:t>ocal small business development</w:t>
      </w:r>
    </w:p>
    <w:p w14:paraId="60E78A7D" w14:textId="59AEC89A" w:rsidR="009E2F0A" w:rsidRDefault="009E2F0A" w:rsidP="00096C6C">
      <w:pPr>
        <w:pStyle w:val="Bullets"/>
        <w:rPr>
          <w:rFonts w:ascii="Calibri" w:hAnsi="Calibri"/>
        </w:rPr>
      </w:pPr>
      <w:r>
        <w:t>maximised value for money procurement and contract management outcomes</w:t>
      </w:r>
      <w:r w:rsidR="00E03E88">
        <w:t>,</w:t>
      </w:r>
      <w:r>
        <w:t xml:space="preserve"> through increased engagement of local businesses that maintain a presence within </w:t>
      </w:r>
      <w:r w:rsidR="00E03E88">
        <w:t xml:space="preserve">the </w:t>
      </w:r>
      <w:r>
        <w:t xml:space="preserve">proximity of where the </w:t>
      </w:r>
      <w:r w:rsidR="00AA3FBA">
        <w:t>goods or services were supplied</w:t>
      </w:r>
    </w:p>
    <w:p w14:paraId="2DB8BD2C" w14:textId="46B84717" w:rsidR="009E2F0A" w:rsidRPr="00EB7278" w:rsidRDefault="009E2F0A" w:rsidP="00D675BC">
      <w:pPr>
        <w:pStyle w:val="Bullets"/>
      </w:pPr>
      <w:r>
        <w:t>e</w:t>
      </w:r>
      <w:r w:rsidRPr="00EB7278">
        <w:t>ncouraged innovative procurement solutions through local industry by undertaking early market engagement activities for the capital works programs in Aboriginal and Torres Strait Islander communities under the National Partnership on Remote Housing</w:t>
      </w:r>
    </w:p>
    <w:p w14:paraId="233DF9B5" w14:textId="77777777" w:rsidR="009E2F0A" w:rsidRDefault="009E2F0A" w:rsidP="00E05961">
      <w:pPr>
        <w:pStyle w:val="Bullets"/>
        <w:rPr>
          <w:rFonts w:ascii="Calibri" w:hAnsi="Calibri"/>
        </w:rPr>
      </w:pPr>
      <w:r>
        <w:t xml:space="preserve">supported the delivery of </w:t>
      </w:r>
      <w:r w:rsidRPr="002052BE">
        <w:t xml:space="preserve">223 dwelling commencements </w:t>
      </w:r>
      <w:r w:rsidRPr="002052BE">
        <w:rPr>
          <w:shd w:val="clear" w:color="auto" w:fill="FFFFFF" w:themeFill="background1"/>
        </w:rPr>
        <w:t>and 95 dwelling</w:t>
      </w:r>
      <w:r>
        <w:t xml:space="preserve"> completions under the National Partnership on Remote Housing </w:t>
      </w:r>
    </w:p>
    <w:p w14:paraId="1BA15B7D" w14:textId="66339DAB" w:rsidR="009E2F0A" w:rsidRPr="003E63FE" w:rsidRDefault="009E2F0A">
      <w:pPr>
        <w:pStyle w:val="Bullets"/>
      </w:pPr>
      <w:r>
        <w:t>e</w:t>
      </w:r>
      <w:r w:rsidRPr="003E63FE">
        <w:t>xtended facilities management agreements designed to reduce future unplanned maintenance works</w:t>
      </w:r>
      <w:r w:rsidR="00E03E88">
        <w:t>,</w:t>
      </w:r>
      <w:r w:rsidRPr="003E63FE">
        <w:t xml:space="preserve"> through bundling maintenance tasks to achieve improved value for money outcomes, to a further 69 government facilities </w:t>
      </w:r>
    </w:p>
    <w:p w14:paraId="183F8FDF" w14:textId="6E11C20F" w:rsidR="009E2F0A" w:rsidRDefault="009E2F0A">
      <w:pPr>
        <w:pStyle w:val="Bullets"/>
      </w:pPr>
      <w:r>
        <w:t xml:space="preserve">continued to </w:t>
      </w:r>
      <w:r w:rsidRPr="003E63FE">
        <w:t xml:space="preserve">maintain a rapid response capacity to support disaster recovery, urgent </w:t>
      </w:r>
      <w:r w:rsidR="00C8277C" w:rsidRPr="003E63FE">
        <w:t>after</w:t>
      </w:r>
      <w:r w:rsidR="00C8277C">
        <w:t>-hours</w:t>
      </w:r>
      <w:r w:rsidRPr="003E63FE">
        <w:t xml:space="preserve"> repairs, asbestos issues, and vandalism impacting </w:t>
      </w:r>
      <w:r w:rsidR="00E03E88">
        <w:t xml:space="preserve">on </w:t>
      </w:r>
      <w:r>
        <w:t>g</w:t>
      </w:r>
      <w:r w:rsidRPr="003E63FE">
        <w:t>overnment facilities</w:t>
      </w:r>
    </w:p>
    <w:p w14:paraId="25EBA8AC" w14:textId="377CC84B" w:rsidR="0041753D" w:rsidRDefault="009E2F0A">
      <w:pPr>
        <w:pStyle w:val="Bullets"/>
      </w:pPr>
      <w:r w:rsidRPr="00EB221B">
        <w:t xml:space="preserve">supported the Department of Education and Training in </w:t>
      </w:r>
      <w:r w:rsidR="00413DD0">
        <w:t>delivering</w:t>
      </w:r>
      <w:r w:rsidRPr="00EB221B">
        <w:t xml:space="preserve"> their Advancing Queens</w:t>
      </w:r>
      <w:r w:rsidRPr="005407CF">
        <w:t xml:space="preserve">land Schools </w:t>
      </w:r>
      <w:r w:rsidR="005A0252">
        <w:t>P</w:t>
      </w:r>
      <w:r w:rsidRPr="005407CF">
        <w:t xml:space="preserve">rogram, which commenced in </w:t>
      </w:r>
      <w:r w:rsidR="000C39C3">
        <w:t>2016–17</w:t>
      </w:r>
      <w:r w:rsidR="00C62829">
        <w:t>.</w:t>
      </w:r>
    </w:p>
    <w:p w14:paraId="410A88EE" w14:textId="23E9B2C2" w:rsidR="002B079C" w:rsidRPr="00E52E16" w:rsidRDefault="002B079C" w:rsidP="00792F33">
      <w:pPr>
        <w:pStyle w:val="Heading3"/>
      </w:pPr>
      <w:r w:rsidRPr="00E52E16">
        <w:t xml:space="preserve">Our </w:t>
      </w:r>
      <w:r w:rsidR="001860FC">
        <w:t>F</w:t>
      </w:r>
      <w:r w:rsidRPr="00E52E16">
        <w:t>uture</w:t>
      </w:r>
      <w:r>
        <w:t xml:space="preserve"> </w:t>
      </w:r>
      <w:r w:rsidR="001860FC">
        <w:t>F</w:t>
      </w:r>
      <w:r>
        <w:t>ocus</w:t>
      </w:r>
    </w:p>
    <w:p w14:paraId="3681BFFE" w14:textId="48F00AD1" w:rsidR="009E2F0A" w:rsidRPr="00E52E16" w:rsidRDefault="00585213" w:rsidP="00CF0A4C">
      <w:r>
        <w:t xml:space="preserve">In </w:t>
      </w:r>
      <w:r w:rsidR="00055E76">
        <w:t>2017</w:t>
      </w:r>
      <w:r>
        <w:t>–1</w:t>
      </w:r>
      <w:r w:rsidR="00055E76">
        <w:t>8</w:t>
      </w:r>
      <w:r>
        <w:t xml:space="preserve">, the department will continue to deliver initiatives that will make a difference to Queenslanders </w:t>
      </w:r>
      <w:r w:rsidR="009E2F0A">
        <w:t>by</w:t>
      </w:r>
      <w:r w:rsidR="009E2F0A" w:rsidRPr="00A637B7">
        <w:t xml:space="preserve"> delivering strategic solutions in partnership with </w:t>
      </w:r>
      <w:r w:rsidR="009E2F0A">
        <w:t>government</w:t>
      </w:r>
      <w:r w:rsidR="009E2F0A" w:rsidRPr="00A637B7">
        <w:t xml:space="preserve"> agencies, including:</w:t>
      </w:r>
      <w:r w:rsidR="009E2F0A" w:rsidRPr="446D654F">
        <w:t xml:space="preserve"> </w:t>
      </w:r>
    </w:p>
    <w:p w14:paraId="2AAF4459" w14:textId="491CA888" w:rsidR="009E2F0A" w:rsidRPr="00A637B7" w:rsidRDefault="009E2F0A" w:rsidP="00096C6C">
      <w:pPr>
        <w:pStyle w:val="Bullets"/>
      </w:pPr>
      <w:r w:rsidRPr="00A637B7">
        <w:t xml:space="preserve">developing a category management approach for building construction and maintenance works </w:t>
      </w:r>
      <w:r>
        <w:t>to</w:t>
      </w:r>
      <w:r w:rsidRPr="00A637B7">
        <w:t xml:space="preserve"> further strengthen procurement engagement activities with local and regional communities </w:t>
      </w:r>
    </w:p>
    <w:p w14:paraId="20DDD257" w14:textId="77777777" w:rsidR="009E2F0A" w:rsidRPr="00A637B7" w:rsidRDefault="009E2F0A" w:rsidP="00096C6C">
      <w:pPr>
        <w:pStyle w:val="Bullets"/>
      </w:pPr>
      <w:r w:rsidRPr="00A637B7">
        <w:t xml:space="preserve">phasing the implementation of a social procurement framework and supporting documentation to enhance sustainable and </w:t>
      </w:r>
      <w:r w:rsidRPr="00A637B7">
        <w:lastRenderedPageBreak/>
        <w:t xml:space="preserve">strategic procurement practices and contribute to building stronger communities </w:t>
      </w:r>
    </w:p>
    <w:p w14:paraId="78DB1C6F" w14:textId="577B7ABE" w:rsidR="009E2F0A" w:rsidRPr="00A637B7" w:rsidRDefault="009E2F0A" w:rsidP="00096C6C">
      <w:pPr>
        <w:pStyle w:val="Bullets"/>
      </w:pPr>
      <w:r w:rsidRPr="00A637B7">
        <w:t xml:space="preserve">continuing to partner with Aboriginal and Torres Strait Islander </w:t>
      </w:r>
      <w:r w:rsidR="001860FC">
        <w:t>C</w:t>
      </w:r>
      <w:r w:rsidRPr="00A637B7">
        <w:t xml:space="preserve">ouncils to deliver capital and maintenance programs under the National Partnership on Remote Housing and </w:t>
      </w:r>
      <w:r w:rsidR="001860FC">
        <w:t xml:space="preserve">the </w:t>
      </w:r>
      <w:r w:rsidRPr="00A637B7">
        <w:t>National Affordable Housing Agreement</w:t>
      </w:r>
      <w:r w:rsidR="001860FC">
        <w:t>,</w:t>
      </w:r>
      <w:r w:rsidRPr="00A637B7">
        <w:t xml:space="preserve"> to maximise employment opportunities and provide economic stimulation to those remote communities</w:t>
      </w:r>
    </w:p>
    <w:p w14:paraId="153D6517" w14:textId="77777777" w:rsidR="008503AA" w:rsidRDefault="009E2F0A" w:rsidP="00912E38">
      <w:pPr>
        <w:pStyle w:val="Bullets"/>
      </w:pPr>
      <w:r w:rsidRPr="00A637B7">
        <w:t>reduc</w:t>
      </w:r>
      <w:r w:rsidR="00742FE2">
        <w:t>ing</w:t>
      </w:r>
      <w:r w:rsidRPr="00A637B7">
        <w:t xml:space="preserve"> preconstruction planning and procurement timeframes for detached </w:t>
      </w:r>
      <w:r w:rsidRPr="00A637B7">
        <w:t xml:space="preserve">housing projects delivered in Aboriginal and Torres Strait Islander communities, from a current average of </w:t>
      </w:r>
      <w:r w:rsidRPr="002052BE">
        <w:rPr>
          <w:shd w:val="clear" w:color="auto" w:fill="FFFFFF" w:themeFill="background1"/>
        </w:rPr>
        <w:t>44 weeks to an average of 28 weeks, saving 16 weeks</w:t>
      </w:r>
      <w:r w:rsidRPr="00A637B7">
        <w:t xml:space="preserve"> in pre</w:t>
      </w:r>
      <w:r w:rsidR="00AA3FBA" w:rsidRPr="690957E2">
        <w:t>-</w:t>
      </w:r>
      <w:r w:rsidRPr="00A637B7">
        <w:t xml:space="preserve">delivery time over a </w:t>
      </w:r>
      <w:r w:rsidR="00C8277C" w:rsidRPr="00A637B7">
        <w:t>four-year</w:t>
      </w:r>
      <w:r w:rsidRPr="00A637B7">
        <w:t xml:space="preserve"> period</w:t>
      </w:r>
    </w:p>
    <w:p w14:paraId="4F5DCF84" w14:textId="6460F287" w:rsidR="00B229AB" w:rsidRPr="00912E38" w:rsidRDefault="008503AA" w:rsidP="00912E38">
      <w:pPr>
        <w:pStyle w:val="Bullets"/>
        <w:rPr>
          <w:color w:val="000000" w:themeColor="text1"/>
        </w:rPr>
      </w:pPr>
      <w:r w:rsidRPr="00912E38">
        <w:rPr>
          <w:rFonts w:eastAsia="Times New Roman"/>
          <w:color w:val="000000" w:themeColor="text1"/>
        </w:rPr>
        <w:t>Strengthening the role and recognition of Building and Asset Services (BAS) in delivering construction services and trade skills in Queensland including through increased capacity and opportunities for apprentices</w:t>
      </w:r>
      <w:r w:rsidR="004513E3" w:rsidRPr="00912E38">
        <w:rPr>
          <w:color w:val="000000" w:themeColor="text1"/>
        </w:rPr>
        <w:t>.</w:t>
      </w:r>
    </w:p>
    <w:p w14:paraId="7FF16CA6" w14:textId="537DAD89" w:rsidR="00B229AB" w:rsidRDefault="00B229AB">
      <w:pPr>
        <w:spacing w:line="259" w:lineRule="auto"/>
      </w:pPr>
    </w:p>
    <w:p w14:paraId="4D9377BF" w14:textId="77777777" w:rsidR="00C8277C" w:rsidRDefault="00C8277C">
      <w:pPr>
        <w:pStyle w:val="Bullets"/>
        <w:sectPr w:rsidR="00C8277C" w:rsidSect="00C8277C">
          <w:type w:val="continuous"/>
          <w:pgSz w:w="11906" w:h="16838"/>
          <w:pgMar w:top="1440" w:right="1021" w:bottom="1440" w:left="1021" w:header="709" w:footer="709" w:gutter="0"/>
          <w:cols w:num="2" w:space="397"/>
          <w:docGrid w:linePitch="360"/>
        </w:sectPr>
      </w:pPr>
    </w:p>
    <w:p w14:paraId="0F9B4D02" w14:textId="748FC9B2" w:rsidR="00C8277C" w:rsidRDefault="00C8277C" w:rsidP="00CF0A4C">
      <w:pPr>
        <w:sectPr w:rsidR="00C8277C" w:rsidSect="00C8277C">
          <w:type w:val="continuous"/>
          <w:pgSz w:w="11906" w:h="16838"/>
          <w:pgMar w:top="1440" w:right="1021" w:bottom="1440" w:left="1021" w:header="709" w:footer="709" w:gutter="0"/>
          <w:cols w:num="2" w:space="708"/>
          <w:docGrid w:linePitch="360"/>
        </w:sectPr>
      </w:pPr>
    </w:p>
    <w:p w14:paraId="1FCB48CB" w14:textId="34ADFF3C" w:rsidR="002B079C" w:rsidRPr="00216984" w:rsidRDefault="002B079C" w:rsidP="00792F33">
      <w:pPr>
        <w:pStyle w:val="Heading3"/>
      </w:pPr>
      <w:r w:rsidRPr="00CB45B4">
        <w:lastRenderedPageBreak/>
        <w:t>Service Standards</w:t>
      </w:r>
      <w:r w:rsidR="00FA69D6">
        <w:t xml:space="preserve"> – Our Results for 2016–17</w:t>
      </w:r>
    </w:p>
    <w:tbl>
      <w:tblPr>
        <w:tblW w:w="9883" w:type="dxa"/>
        <w:tblInd w:w="-5" w:type="dxa"/>
        <w:tblBorders>
          <w:top w:val="single" w:sz="4" w:space="0" w:color="4A7090" w:themeColor="background2" w:themeShade="80"/>
          <w:left w:val="single" w:sz="4" w:space="0" w:color="4A7090" w:themeColor="background2" w:themeShade="80"/>
          <w:bottom w:val="single" w:sz="4" w:space="0" w:color="4A7090" w:themeColor="background2" w:themeShade="80"/>
          <w:right w:val="single" w:sz="4" w:space="0" w:color="4A7090" w:themeColor="background2" w:themeShade="80"/>
          <w:insideH w:val="single" w:sz="4" w:space="0" w:color="4A7090" w:themeColor="background2" w:themeShade="80"/>
          <w:insideV w:val="single" w:sz="4" w:space="0" w:color="4A7090" w:themeColor="background2" w:themeShade="80"/>
        </w:tblBorders>
        <w:tblLayout w:type="fixed"/>
        <w:tblLook w:val="01E0" w:firstRow="1" w:lastRow="1" w:firstColumn="1" w:lastColumn="1" w:noHBand="0" w:noVBand="0"/>
      </w:tblPr>
      <w:tblGrid>
        <w:gridCol w:w="7377"/>
        <w:gridCol w:w="1246"/>
        <w:gridCol w:w="1260"/>
      </w:tblGrid>
      <w:tr w:rsidR="00A26151" w:rsidRPr="00A26151" w14:paraId="5810265B" w14:textId="77777777" w:rsidTr="00792F33">
        <w:trPr>
          <w:tblHeader/>
        </w:trPr>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007FF1B7" w14:textId="77777777" w:rsidR="00E73E0D" w:rsidRPr="00455FE3" w:rsidRDefault="00E73E0D" w:rsidP="00CF0A4C">
            <w:pPr>
              <w:pStyle w:val="TableTextHeading"/>
              <w:rPr>
                <w:sz w:val="22"/>
              </w:rPr>
            </w:pPr>
            <w:r w:rsidRPr="00455FE3">
              <w:rPr>
                <w:sz w:val="22"/>
              </w:rPr>
              <w:t>Building and Asset Services</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14BA7073" w14:textId="7C859ABE" w:rsidR="00E73E0D" w:rsidRPr="00455FE3" w:rsidRDefault="000C39C3" w:rsidP="00CF0A4C">
            <w:pPr>
              <w:pStyle w:val="TableTextHeading"/>
              <w:rPr>
                <w:sz w:val="22"/>
              </w:rPr>
            </w:pPr>
            <w:r w:rsidRPr="00455FE3">
              <w:rPr>
                <w:sz w:val="22"/>
              </w:rPr>
              <w:t>2016–17</w:t>
            </w:r>
          </w:p>
          <w:p w14:paraId="4F78A1A6" w14:textId="77777777" w:rsidR="00E73E0D" w:rsidRPr="00455FE3" w:rsidRDefault="00E73E0D" w:rsidP="00CF0A4C">
            <w:pPr>
              <w:pStyle w:val="TableTextHeading"/>
              <w:rPr>
                <w:sz w:val="22"/>
              </w:rPr>
            </w:pPr>
            <w:r w:rsidRPr="00455FE3">
              <w:rPr>
                <w:sz w:val="22"/>
              </w:rPr>
              <w:t>Target/Est.</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61DE4E25" w14:textId="5C282512" w:rsidR="00E73E0D" w:rsidRPr="00455FE3" w:rsidRDefault="000C39C3" w:rsidP="00CF0A4C">
            <w:pPr>
              <w:pStyle w:val="TableTextHeading"/>
              <w:rPr>
                <w:sz w:val="22"/>
              </w:rPr>
            </w:pPr>
            <w:r w:rsidRPr="00455FE3">
              <w:rPr>
                <w:sz w:val="22"/>
              </w:rPr>
              <w:t>2016–17</w:t>
            </w:r>
          </w:p>
          <w:p w14:paraId="2868D069" w14:textId="77777777" w:rsidR="00E73E0D" w:rsidRPr="00455FE3" w:rsidRDefault="00E73E0D" w:rsidP="00CF0A4C">
            <w:pPr>
              <w:pStyle w:val="TableTextHeading"/>
              <w:rPr>
                <w:sz w:val="22"/>
              </w:rPr>
            </w:pPr>
            <w:r w:rsidRPr="00455FE3">
              <w:rPr>
                <w:sz w:val="22"/>
              </w:rPr>
              <w:t>Actual</w:t>
            </w:r>
          </w:p>
        </w:tc>
      </w:tr>
      <w:tr w:rsidR="00E73E0D" w:rsidRPr="00DE340B" w14:paraId="5408519D" w14:textId="77777777" w:rsidTr="00792F33">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E9C6592" w14:textId="77777777" w:rsidR="00E73E0D" w:rsidRPr="00455FE3" w:rsidRDefault="00E73E0D" w:rsidP="00CF0A4C">
            <w:pPr>
              <w:pStyle w:val="TableTextItalics"/>
              <w:rPr>
                <w:b/>
                <w:sz w:val="22"/>
              </w:rPr>
            </w:pPr>
            <w:r w:rsidRPr="00455FE3">
              <w:rPr>
                <w:b/>
                <w:sz w:val="22"/>
              </w:rPr>
              <w:t>Effectiveness measures</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B5C6AAF" w14:textId="77777777" w:rsidR="00E73E0D" w:rsidRPr="00455FE3" w:rsidRDefault="00E73E0D" w:rsidP="00CF0A4C">
            <w:pPr>
              <w:pStyle w:val="TableTextRight"/>
              <w:rPr>
                <w:sz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375AA06" w14:textId="77777777" w:rsidR="00E73E0D" w:rsidRPr="00455FE3" w:rsidRDefault="00E73E0D" w:rsidP="00CF0A4C">
            <w:pPr>
              <w:pStyle w:val="TableTextRight"/>
              <w:rPr>
                <w:sz w:val="22"/>
              </w:rPr>
            </w:pPr>
          </w:p>
        </w:tc>
      </w:tr>
      <w:tr w:rsidR="00E73E0D" w:rsidRPr="00246DD9" w14:paraId="1914BABD" w14:textId="77777777" w:rsidTr="00792F33">
        <w:tc>
          <w:tcPr>
            <w:tcW w:w="7377" w:type="dxa"/>
            <w:tcBorders>
              <w:top w:val="single" w:sz="4" w:space="0" w:color="000000" w:themeColor="text1"/>
              <w:left w:val="single" w:sz="4" w:space="0" w:color="000000" w:themeColor="text1"/>
              <w:bottom w:val="nil"/>
              <w:right w:val="single" w:sz="4" w:space="0" w:color="000000" w:themeColor="text1"/>
            </w:tcBorders>
            <w:vAlign w:val="bottom"/>
            <w:hideMark/>
          </w:tcPr>
          <w:p w14:paraId="6D8C1E6E" w14:textId="77777777" w:rsidR="00E73E0D" w:rsidRPr="00455FE3" w:rsidRDefault="00E73E0D" w:rsidP="00CF0A4C">
            <w:pPr>
              <w:pStyle w:val="TableText"/>
              <w:rPr>
                <w:sz w:val="22"/>
              </w:rPr>
            </w:pPr>
            <w:r w:rsidRPr="00455FE3">
              <w:rPr>
                <w:sz w:val="22"/>
              </w:rPr>
              <w:t>Overall customer satisfaction</w:t>
            </w:r>
          </w:p>
        </w:tc>
        <w:tc>
          <w:tcPr>
            <w:tcW w:w="1246" w:type="dxa"/>
            <w:tcBorders>
              <w:top w:val="single" w:sz="4" w:space="0" w:color="000000" w:themeColor="text1"/>
              <w:left w:val="single" w:sz="4" w:space="0" w:color="000000" w:themeColor="text1"/>
              <w:bottom w:val="nil"/>
              <w:right w:val="single" w:sz="4" w:space="0" w:color="000000" w:themeColor="text1"/>
            </w:tcBorders>
            <w:vAlign w:val="bottom"/>
          </w:tcPr>
          <w:p w14:paraId="28D6FF8F" w14:textId="77777777" w:rsidR="00E73E0D" w:rsidRPr="00455FE3" w:rsidRDefault="00E73E0D" w:rsidP="00CF0A4C">
            <w:pPr>
              <w:pStyle w:val="TableTextRight"/>
              <w:rPr>
                <w:sz w:val="22"/>
              </w:rPr>
            </w:pPr>
            <w:r w:rsidRPr="00455FE3">
              <w:rPr>
                <w:sz w:val="22"/>
              </w:rPr>
              <w:t>..</w:t>
            </w:r>
          </w:p>
        </w:tc>
        <w:tc>
          <w:tcPr>
            <w:tcW w:w="1260" w:type="dxa"/>
            <w:tcBorders>
              <w:top w:val="single" w:sz="4" w:space="0" w:color="000000" w:themeColor="text1"/>
              <w:left w:val="single" w:sz="4" w:space="0" w:color="000000" w:themeColor="text1"/>
              <w:bottom w:val="nil"/>
              <w:right w:val="single" w:sz="4" w:space="0" w:color="000000" w:themeColor="text1"/>
            </w:tcBorders>
            <w:vAlign w:val="bottom"/>
          </w:tcPr>
          <w:p w14:paraId="5B16E9D0" w14:textId="77777777" w:rsidR="00E73E0D" w:rsidRPr="00455FE3" w:rsidRDefault="00E73E0D" w:rsidP="00CF0A4C">
            <w:pPr>
              <w:pStyle w:val="TableTextRight"/>
              <w:rPr>
                <w:sz w:val="22"/>
              </w:rPr>
            </w:pPr>
            <w:r w:rsidRPr="00455FE3">
              <w:rPr>
                <w:sz w:val="22"/>
              </w:rPr>
              <w:t>..</w:t>
            </w:r>
          </w:p>
        </w:tc>
      </w:tr>
      <w:tr w:rsidR="00E73E0D" w:rsidRPr="00246DD9" w14:paraId="62B853F6" w14:textId="77777777" w:rsidTr="00792F33">
        <w:tc>
          <w:tcPr>
            <w:tcW w:w="7377" w:type="dxa"/>
            <w:tcBorders>
              <w:top w:val="nil"/>
              <w:left w:val="single" w:sz="4" w:space="0" w:color="000000" w:themeColor="text1"/>
              <w:bottom w:val="single" w:sz="4" w:space="0" w:color="000000" w:themeColor="text1"/>
              <w:right w:val="single" w:sz="4" w:space="0" w:color="000000" w:themeColor="text1"/>
            </w:tcBorders>
            <w:vAlign w:val="bottom"/>
          </w:tcPr>
          <w:p w14:paraId="4B4CA6E5" w14:textId="30FFCC29" w:rsidR="00E73E0D" w:rsidRPr="00455FE3" w:rsidRDefault="00E73E0D" w:rsidP="001860FC">
            <w:pPr>
              <w:pStyle w:val="NoteIndent"/>
              <w:tabs>
                <w:tab w:val="clear" w:pos="357"/>
              </w:tabs>
              <w:ind w:left="0" w:firstLine="0"/>
              <w:rPr>
                <w:sz w:val="22"/>
                <w:szCs w:val="14"/>
              </w:rPr>
            </w:pPr>
            <w:r w:rsidRPr="00455FE3">
              <w:rPr>
                <w:sz w:val="22"/>
                <w:szCs w:val="14"/>
              </w:rPr>
              <w:t xml:space="preserve">There is no </w:t>
            </w:r>
            <w:r w:rsidR="000C39C3" w:rsidRPr="00455FE3">
              <w:rPr>
                <w:sz w:val="22"/>
                <w:szCs w:val="14"/>
              </w:rPr>
              <w:t>2016–17</w:t>
            </w:r>
            <w:r w:rsidRPr="00455FE3">
              <w:rPr>
                <w:sz w:val="22"/>
                <w:szCs w:val="14"/>
              </w:rPr>
              <w:t xml:space="preserve"> target/estimate and </w:t>
            </w:r>
            <w:r w:rsidR="000C39C3" w:rsidRPr="00455FE3">
              <w:rPr>
                <w:sz w:val="22"/>
                <w:szCs w:val="14"/>
              </w:rPr>
              <w:t>2016–17</w:t>
            </w:r>
            <w:r w:rsidRPr="00455FE3">
              <w:rPr>
                <w:sz w:val="22"/>
                <w:szCs w:val="14"/>
              </w:rPr>
              <w:t xml:space="preserve"> estimated actual as this is a biennial measure with the next survey to be undertaken in </w:t>
            </w:r>
            <w:r w:rsidR="000C39C3" w:rsidRPr="00455FE3">
              <w:rPr>
                <w:sz w:val="22"/>
                <w:szCs w:val="14"/>
              </w:rPr>
              <w:t>2017–18</w:t>
            </w:r>
            <w:r w:rsidRPr="00455FE3">
              <w:rPr>
                <w:sz w:val="22"/>
                <w:szCs w:val="14"/>
              </w:rPr>
              <w:t>.</w:t>
            </w:r>
          </w:p>
        </w:tc>
        <w:tc>
          <w:tcPr>
            <w:tcW w:w="1246" w:type="dxa"/>
            <w:tcBorders>
              <w:top w:val="nil"/>
              <w:left w:val="single" w:sz="4" w:space="0" w:color="000000" w:themeColor="text1"/>
              <w:bottom w:val="single" w:sz="4" w:space="0" w:color="000000" w:themeColor="text1"/>
              <w:right w:val="single" w:sz="4" w:space="0" w:color="000000" w:themeColor="text1"/>
            </w:tcBorders>
            <w:vAlign w:val="bottom"/>
          </w:tcPr>
          <w:p w14:paraId="0E9653D1" w14:textId="77777777" w:rsidR="00E73E0D" w:rsidRPr="00455FE3" w:rsidRDefault="00E73E0D" w:rsidP="00CF0A4C">
            <w:pPr>
              <w:pStyle w:val="TableTextRight"/>
              <w:rPr>
                <w:sz w:val="22"/>
              </w:rPr>
            </w:pPr>
          </w:p>
        </w:tc>
        <w:tc>
          <w:tcPr>
            <w:tcW w:w="1260" w:type="dxa"/>
            <w:tcBorders>
              <w:top w:val="nil"/>
              <w:left w:val="single" w:sz="4" w:space="0" w:color="000000" w:themeColor="text1"/>
              <w:bottom w:val="single" w:sz="4" w:space="0" w:color="000000" w:themeColor="text1"/>
              <w:right w:val="single" w:sz="4" w:space="0" w:color="000000" w:themeColor="text1"/>
            </w:tcBorders>
            <w:vAlign w:val="bottom"/>
          </w:tcPr>
          <w:p w14:paraId="381A443B" w14:textId="77777777" w:rsidR="00E73E0D" w:rsidRPr="00455FE3" w:rsidRDefault="00E73E0D" w:rsidP="00CF0A4C">
            <w:pPr>
              <w:pStyle w:val="TableTextRight"/>
              <w:rPr>
                <w:sz w:val="22"/>
              </w:rPr>
            </w:pPr>
          </w:p>
        </w:tc>
      </w:tr>
      <w:tr w:rsidR="00E73E0D" w:rsidRPr="00246DD9" w14:paraId="73BEBF6B" w14:textId="77777777" w:rsidTr="00792F33">
        <w:tc>
          <w:tcPr>
            <w:tcW w:w="7377" w:type="dxa"/>
            <w:tcBorders>
              <w:top w:val="single" w:sz="4" w:space="0" w:color="000000" w:themeColor="text1"/>
              <w:left w:val="single" w:sz="4" w:space="0" w:color="000000" w:themeColor="text1"/>
              <w:bottom w:val="nil"/>
              <w:right w:val="single" w:sz="4" w:space="0" w:color="000000" w:themeColor="text1"/>
            </w:tcBorders>
            <w:vAlign w:val="bottom"/>
            <w:hideMark/>
          </w:tcPr>
          <w:p w14:paraId="5479FDFA" w14:textId="77777777" w:rsidR="00E73E0D" w:rsidRPr="00455FE3" w:rsidRDefault="00E73E0D" w:rsidP="00CF0A4C">
            <w:pPr>
              <w:pStyle w:val="TableText"/>
              <w:rPr>
                <w:sz w:val="22"/>
              </w:rPr>
            </w:pPr>
            <w:r w:rsidRPr="00455FE3">
              <w:rPr>
                <w:sz w:val="22"/>
              </w:rPr>
              <w:t>Percentage of maintenance spend on Building and Asset Services’ customer’s facilities with regional suppliers</w:t>
            </w:r>
          </w:p>
        </w:tc>
        <w:tc>
          <w:tcPr>
            <w:tcW w:w="1246" w:type="dxa"/>
            <w:tcBorders>
              <w:top w:val="single" w:sz="4" w:space="0" w:color="000000" w:themeColor="text1"/>
              <w:left w:val="single" w:sz="4" w:space="0" w:color="000000" w:themeColor="text1"/>
              <w:bottom w:val="nil"/>
              <w:right w:val="single" w:sz="4" w:space="0" w:color="000000" w:themeColor="text1"/>
            </w:tcBorders>
            <w:vAlign w:val="bottom"/>
          </w:tcPr>
          <w:p w14:paraId="19BB8722" w14:textId="77777777" w:rsidR="00E73E0D" w:rsidRPr="00455FE3" w:rsidRDefault="00E73E0D" w:rsidP="00CF0A4C">
            <w:pPr>
              <w:pStyle w:val="TableTextRight"/>
              <w:rPr>
                <w:sz w:val="22"/>
              </w:rPr>
            </w:pPr>
            <w:r w:rsidRPr="00455FE3">
              <w:rPr>
                <w:sz w:val="22"/>
              </w:rPr>
              <w:t>70%</w:t>
            </w:r>
          </w:p>
        </w:tc>
        <w:tc>
          <w:tcPr>
            <w:tcW w:w="1260" w:type="dxa"/>
            <w:tcBorders>
              <w:top w:val="single" w:sz="4" w:space="0" w:color="000000" w:themeColor="text1"/>
              <w:left w:val="single" w:sz="4" w:space="0" w:color="000000" w:themeColor="text1"/>
              <w:bottom w:val="nil"/>
              <w:right w:val="single" w:sz="4" w:space="0" w:color="000000" w:themeColor="text1"/>
            </w:tcBorders>
            <w:vAlign w:val="bottom"/>
          </w:tcPr>
          <w:p w14:paraId="4A3BD09C" w14:textId="3191AABC" w:rsidR="00E73E0D" w:rsidRPr="00455FE3" w:rsidRDefault="00E3492B" w:rsidP="00CF0A4C">
            <w:pPr>
              <w:pStyle w:val="TableTextRight"/>
              <w:rPr>
                <w:sz w:val="22"/>
              </w:rPr>
            </w:pPr>
            <w:r w:rsidRPr="00455FE3">
              <w:rPr>
                <w:sz w:val="22"/>
              </w:rPr>
              <w:t>87.2%</w:t>
            </w:r>
          </w:p>
        </w:tc>
      </w:tr>
      <w:tr w:rsidR="00314C77" w:rsidRPr="00AE6204" w14:paraId="2382E04C" w14:textId="77777777" w:rsidTr="00792F33">
        <w:tc>
          <w:tcPr>
            <w:tcW w:w="7377"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77C26866" w14:textId="390C907D" w:rsidR="00E73E0D" w:rsidRPr="00455FE3" w:rsidRDefault="00E73E0D" w:rsidP="001860FC">
            <w:pPr>
              <w:pStyle w:val="NoteIndent"/>
              <w:tabs>
                <w:tab w:val="clear" w:pos="357"/>
              </w:tabs>
              <w:ind w:left="0" w:firstLine="0"/>
              <w:rPr>
                <w:sz w:val="22"/>
              </w:rPr>
            </w:pPr>
            <w:r w:rsidRPr="00455FE3">
              <w:rPr>
                <w:sz w:val="22"/>
                <w:szCs w:val="14"/>
              </w:rPr>
              <w:t xml:space="preserve">Variance between </w:t>
            </w:r>
            <w:r w:rsidR="000C39C3" w:rsidRPr="00455FE3">
              <w:rPr>
                <w:sz w:val="22"/>
                <w:szCs w:val="14"/>
              </w:rPr>
              <w:t>2016–17</w:t>
            </w:r>
            <w:r w:rsidRPr="00455FE3">
              <w:rPr>
                <w:sz w:val="22"/>
                <w:szCs w:val="14"/>
              </w:rPr>
              <w:t xml:space="preserve"> target/estimate and </w:t>
            </w:r>
            <w:r w:rsidR="000C39C3" w:rsidRPr="00455FE3">
              <w:rPr>
                <w:sz w:val="22"/>
                <w:szCs w:val="14"/>
              </w:rPr>
              <w:t>2016–17</w:t>
            </w:r>
            <w:r w:rsidRPr="00455FE3">
              <w:rPr>
                <w:sz w:val="22"/>
                <w:szCs w:val="14"/>
              </w:rPr>
              <w:t xml:space="preserve"> actual is due to the refinement of data resulting in a better than anticipated result for this measure that was introduced in </w:t>
            </w:r>
            <w:r w:rsidR="000C39C3" w:rsidRPr="00455FE3">
              <w:rPr>
                <w:sz w:val="22"/>
                <w:szCs w:val="14"/>
              </w:rPr>
              <w:t>2016–17</w:t>
            </w:r>
            <w:r w:rsidRPr="00455FE3">
              <w:rPr>
                <w:sz w:val="22"/>
                <w:szCs w:val="14"/>
              </w:rPr>
              <w:t xml:space="preserve">. </w:t>
            </w:r>
          </w:p>
        </w:tc>
        <w:tc>
          <w:tcPr>
            <w:tcW w:w="1246"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CFDE9F7" w14:textId="77777777" w:rsidR="00E73E0D" w:rsidRPr="00455FE3" w:rsidRDefault="00E73E0D" w:rsidP="00CF0A4C">
            <w:pPr>
              <w:pStyle w:val="TableText"/>
              <w:rPr>
                <w:sz w:val="22"/>
              </w:rPr>
            </w:pPr>
          </w:p>
        </w:tc>
        <w:tc>
          <w:tcPr>
            <w:tcW w:w="1260" w:type="dxa"/>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vAlign w:val="bottom"/>
          </w:tcPr>
          <w:p w14:paraId="440589C3" w14:textId="77777777" w:rsidR="00E73E0D" w:rsidRPr="00455FE3" w:rsidRDefault="00E73E0D" w:rsidP="00CF0A4C">
            <w:pPr>
              <w:pStyle w:val="TableText"/>
              <w:rPr>
                <w:sz w:val="22"/>
              </w:rPr>
            </w:pPr>
          </w:p>
        </w:tc>
      </w:tr>
      <w:tr w:rsidR="00E73E0D" w:rsidRPr="00246DD9" w14:paraId="20157755" w14:textId="77777777" w:rsidTr="00792F33">
        <w:tc>
          <w:tcPr>
            <w:tcW w:w="73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6EE39102" w14:textId="77777777" w:rsidR="00E73E0D" w:rsidRPr="00455FE3" w:rsidRDefault="00E73E0D" w:rsidP="00CF0A4C">
            <w:pPr>
              <w:pStyle w:val="TableTextItalics"/>
              <w:rPr>
                <w:b/>
                <w:sz w:val="22"/>
              </w:rPr>
            </w:pPr>
            <w:r w:rsidRPr="00455FE3">
              <w:rPr>
                <w:b/>
                <w:sz w:val="22"/>
              </w:rPr>
              <w:t>Efficiency measures</w:t>
            </w:r>
          </w:p>
        </w:tc>
        <w:tc>
          <w:tcPr>
            <w:tcW w:w="12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27ED6952" w14:textId="77777777" w:rsidR="00E73E0D" w:rsidRPr="00455FE3" w:rsidRDefault="00E73E0D" w:rsidP="00CF0A4C">
            <w:pPr>
              <w:pStyle w:val="TableTextRight"/>
              <w:rPr>
                <w:sz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9EE2530" w14:textId="77777777" w:rsidR="00E73E0D" w:rsidRPr="00455FE3" w:rsidRDefault="00E73E0D" w:rsidP="00CF0A4C">
            <w:pPr>
              <w:pStyle w:val="TableTextRight"/>
              <w:rPr>
                <w:sz w:val="22"/>
              </w:rPr>
            </w:pPr>
          </w:p>
        </w:tc>
      </w:tr>
      <w:tr w:rsidR="00E73E0D" w:rsidRPr="00246DD9" w14:paraId="1BAF50CE" w14:textId="77777777" w:rsidTr="00792F33">
        <w:tc>
          <w:tcPr>
            <w:tcW w:w="7377" w:type="dxa"/>
            <w:tcBorders>
              <w:top w:val="single" w:sz="4" w:space="0" w:color="000000" w:themeColor="text1"/>
              <w:left w:val="single" w:sz="4" w:space="0" w:color="000000" w:themeColor="text1"/>
              <w:bottom w:val="nil"/>
              <w:right w:val="single" w:sz="4" w:space="0" w:color="000000" w:themeColor="text1"/>
            </w:tcBorders>
            <w:vAlign w:val="bottom"/>
            <w:hideMark/>
          </w:tcPr>
          <w:p w14:paraId="728FC9FF" w14:textId="77777777" w:rsidR="00E73E0D" w:rsidRPr="00455FE3" w:rsidRDefault="00E73E0D" w:rsidP="00CF0A4C">
            <w:pPr>
              <w:pStyle w:val="TableText"/>
              <w:rPr>
                <w:sz w:val="22"/>
              </w:rPr>
            </w:pPr>
            <w:r w:rsidRPr="00455FE3">
              <w:rPr>
                <w:sz w:val="22"/>
              </w:rPr>
              <w:t>Gross profit as a percentage of revenue generated from work delivered on behalf of BAS customers</w:t>
            </w:r>
          </w:p>
        </w:tc>
        <w:tc>
          <w:tcPr>
            <w:tcW w:w="1246" w:type="dxa"/>
            <w:tcBorders>
              <w:top w:val="single" w:sz="4" w:space="0" w:color="000000" w:themeColor="text1"/>
              <w:left w:val="single" w:sz="4" w:space="0" w:color="000000" w:themeColor="text1"/>
              <w:bottom w:val="nil"/>
              <w:right w:val="single" w:sz="4" w:space="0" w:color="000000" w:themeColor="text1"/>
            </w:tcBorders>
            <w:vAlign w:val="bottom"/>
          </w:tcPr>
          <w:p w14:paraId="288873AE" w14:textId="77777777" w:rsidR="00E73E0D" w:rsidRPr="00455FE3" w:rsidRDefault="00E73E0D" w:rsidP="00CF0A4C">
            <w:pPr>
              <w:pStyle w:val="TableTextRight"/>
              <w:rPr>
                <w:sz w:val="22"/>
              </w:rPr>
            </w:pPr>
            <w:r w:rsidRPr="00455FE3">
              <w:rPr>
                <w:sz w:val="22"/>
              </w:rPr>
              <w:t>8.6</w:t>
            </w:r>
          </w:p>
        </w:tc>
        <w:tc>
          <w:tcPr>
            <w:tcW w:w="1260" w:type="dxa"/>
            <w:tcBorders>
              <w:top w:val="single" w:sz="4" w:space="0" w:color="000000" w:themeColor="text1"/>
              <w:left w:val="single" w:sz="4" w:space="0" w:color="000000" w:themeColor="text1"/>
              <w:bottom w:val="nil"/>
              <w:right w:val="single" w:sz="4" w:space="0" w:color="000000" w:themeColor="text1"/>
            </w:tcBorders>
            <w:vAlign w:val="bottom"/>
          </w:tcPr>
          <w:p w14:paraId="15CAAF2F" w14:textId="3C4FC510" w:rsidR="00E73E0D" w:rsidRPr="00455FE3" w:rsidRDefault="00E3492B" w:rsidP="00CF0A4C">
            <w:pPr>
              <w:pStyle w:val="TableTextRight"/>
              <w:rPr>
                <w:sz w:val="22"/>
              </w:rPr>
            </w:pPr>
            <w:r w:rsidRPr="00455FE3">
              <w:rPr>
                <w:sz w:val="22"/>
              </w:rPr>
              <w:t>8.1</w:t>
            </w:r>
          </w:p>
        </w:tc>
      </w:tr>
      <w:tr w:rsidR="00E73E0D" w:rsidRPr="00AE6204" w14:paraId="2565637A" w14:textId="77777777" w:rsidTr="00792F33">
        <w:tc>
          <w:tcPr>
            <w:tcW w:w="7377" w:type="dxa"/>
            <w:tcBorders>
              <w:top w:val="nil"/>
              <w:left w:val="single" w:sz="4" w:space="0" w:color="000000" w:themeColor="text1"/>
              <w:bottom w:val="single" w:sz="4" w:space="0" w:color="000000" w:themeColor="text1"/>
              <w:right w:val="single" w:sz="4" w:space="0" w:color="000000" w:themeColor="text1"/>
            </w:tcBorders>
            <w:vAlign w:val="bottom"/>
          </w:tcPr>
          <w:p w14:paraId="2FBBA130" w14:textId="49BD3F55" w:rsidR="00E73E0D" w:rsidRPr="00455FE3" w:rsidRDefault="00E73E0D" w:rsidP="001860FC">
            <w:pPr>
              <w:pStyle w:val="NoteIndent"/>
              <w:ind w:left="0" w:firstLine="0"/>
              <w:rPr>
                <w:sz w:val="22"/>
              </w:rPr>
            </w:pPr>
            <w:r w:rsidRPr="00455FE3">
              <w:rPr>
                <w:sz w:val="22"/>
                <w:szCs w:val="14"/>
              </w:rPr>
              <w:t xml:space="preserve">Variance between the </w:t>
            </w:r>
            <w:r w:rsidR="000C39C3" w:rsidRPr="00455FE3">
              <w:rPr>
                <w:sz w:val="22"/>
                <w:szCs w:val="14"/>
              </w:rPr>
              <w:t>2016–17</w:t>
            </w:r>
            <w:r w:rsidRPr="00455FE3">
              <w:rPr>
                <w:sz w:val="22"/>
                <w:szCs w:val="14"/>
              </w:rPr>
              <w:t xml:space="preserve"> target/estimate and the </w:t>
            </w:r>
            <w:r w:rsidR="000C39C3" w:rsidRPr="00455FE3">
              <w:rPr>
                <w:sz w:val="22"/>
                <w:szCs w:val="14"/>
              </w:rPr>
              <w:t>2016–17</w:t>
            </w:r>
            <w:r w:rsidRPr="00455FE3">
              <w:rPr>
                <w:sz w:val="22"/>
                <w:szCs w:val="14"/>
              </w:rPr>
              <w:t xml:space="preserve"> actual is mainly due to an accounting treatment realigning the delivery of certain support costs.</w:t>
            </w:r>
          </w:p>
        </w:tc>
        <w:tc>
          <w:tcPr>
            <w:tcW w:w="1246" w:type="dxa"/>
            <w:tcBorders>
              <w:top w:val="nil"/>
              <w:left w:val="single" w:sz="4" w:space="0" w:color="000000" w:themeColor="text1"/>
              <w:bottom w:val="single" w:sz="4" w:space="0" w:color="000000" w:themeColor="text1"/>
              <w:right w:val="single" w:sz="4" w:space="0" w:color="000000" w:themeColor="text1"/>
            </w:tcBorders>
            <w:vAlign w:val="bottom"/>
          </w:tcPr>
          <w:p w14:paraId="0A8BD954" w14:textId="77777777" w:rsidR="00E73E0D" w:rsidRPr="00455FE3" w:rsidRDefault="00E73E0D" w:rsidP="00CF0A4C">
            <w:pPr>
              <w:pStyle w:val="TableText"/>
              <w:rPr>
                <w:sz w:val="22"/>
              </w:rPr>
            </w:pPr>
          </w:p>
        </w:tc>
        <w:tc>
          <w:tcPr>
            <w:tcW w:w="1260" w:type="dxa"/>
            <w:tcBorders>
              <w:top w:val="nil"/>
              <w:left w:val="single" w:sz="4" w:space="0" w:color="000000" w:themeColor="text1"/>
              <w:bottom w:val="single" w:sz="4" w:space="0" w:color="000000" w:themeColor="text1"/>
              <w:right w:val="single" w:sz="4" w:space="0" w:color="000000" w:themeColor="text1"/>
            </w:tcBorders>
            <w:vAlign w:val="bottom"/>
          </w:tcPr>
          <w:p w14:paraId="321D341F" w14:textId="77777777" w:rsidR="00E73E0D" w:rsidRPr="00455FE3" w:rsidRDefault="00E73E0D" w:rsidP="00CF0A4C">
            <w:pPr>
              <w:pStyle w:val="TableText"/>
              <w:rPr>
                <w:sz w:val="22"/>
              </w:rPr>
            </w:pPr>
          </w:p>
        </w:tc>
      </w:tr>
      <w:tr w:rsidR="00E73E0D" w:rsidRPr="00246DD9" w14:paraId="50AB1A9B" w14:textId="77777777" w:rsidTr="00792F33">
        <w:tc>
          <w:tcPr>
            <w:tcW w:w="7377" w:type="dxa"/>
            <w:tcBorders>
              <w:top w:val="single" w:sz="4" w:space="0" w:color="000000" w:themeColor="text1"/>
              <w:left w:val="single" w:sz="4" w:space="0" w:color="000000" w:themeColor="text1"/>
              <w:bottom w:val="nil"/>
              <w:right w:val="single" w:sz="4" w:space="0" w:color="000000" w:themeColor="text1"/>
            </w:tcBorders>
            <w:vAlign w:val="bottom"/>
            <w:hideMark/>
          </w:tcPr>
          <w:p w14:paraId="3DA60D79" w14:textId="77777777" w:rsidR="00E73E0D" w:rsidRPr="00455FE3" w:rsidRDefault="00E73E0D" w:rsidP="00CF0A4C">
            <w:pPr>
              <w:pStyle w:val="TableText"/>
              <w:rPr>
                <w:sz w:val="22"/>
              </w:rPr>
            </w:pPr>
            <w:r w:rsidRPr="00455FE3">
              <w:rPr>
                <w:sz w:val="22"/>
              </w:rPr>
              <w:t>Net profit before tax and dividends as a percentage of sales</w:t>
            </w:r>
          </w:p>
        </w:tc>
        <w:tc>
          <w:tcPr>
            <w:tcW w:w="1246" w:type="dxa"/>
            <w:tcBorders>
              <w:top w:val="single" w:sz="4" w:space="0" w:color="000000" w:themeColor="text1"/>
              <w:left w:val="single" w:sz="4" w:space="0" w:color="000000" w:themeColor="text1"/>
              <w:bottom w:val="nil"/>
              <w:right w:val="single" w:sz="4" w:space="0" w:color="000000" w:themeColor="text1"/>
            </w:tcBorders>
            <w:vAlign w:val="bottom"/>
          </w:tcPr>
          <w:p w14:paraId="3D800C1F" w14:textId="77777777" w:rsidR="00E73E0D" w:rsidRPr="00455FE3" w:rsidRDefault="00E73E0D" w:rsidP="00CF0A4C">
            <w:pPr>
              <w:pStyle w:val="TableTextRight"/>
              <w:rPr>
                <w:sz w:val="22"/>
              </w:rPr>
            </w:pPr>
            <w:r w:rsidRPr="00455FE3">
              <w:rPr>
                <w:sz w:val="22"/>
              </w:rPr>
              <w:t>0.0</w:t>
            </w:r>
          </w:p>
        </w:tc>
        <w:tc>
          <w:tcPr>
            <w:tcW w:w="1260" w:type="dxa"/>
            <w:tcBorders>
              <w:top w:val="single" w:sz="4" w:space="0" w:color="000000" w:themeColor="text1"/>
              <w:left w:val="single" w:sz="4" w:space="0" w:color="000000" w:themeColor="text1"/>
              <w:bottom w:val="nil"/>
              <w:right w:val="single" w:sz="4" w:space="0" w:color="000000" w:themeColor="text1"/>
            </w:tcBorders>
            <w:vAlign w:val="bottom"/>
          </w:tcPr>
          <w:p w14:paraId="745DE1C4" w14:textId="5B47DDB0" w:rsidR="00E73E0D" w:rsidRPr="00455FE3" w:rsidRDefault="00E3492B" w:rsidP="00CF0A4C">
            <w:pPr>
              <w:pStyle w:val="TableTextRight"/>
              <w:rPr>
                <w:sz w:val="22"/>
              </w:rPr>
            </w:pPr>
            <w:r w:rsidRPr="00455FE3">
              <w:rPr>
                <w:sz w:val="22"/>
              </w:rPr>
              <w:t>1.2</w:t>
            </w:r>
          </w:p>
        </w:tc>
      </w:tr>
      <w:tr w:rsidR="00E73E0D" w:rsidRPr="00AE6204" w14:paraId="285C32E7" w14:textId="77777777" w:rsidTr="00792F33">
        <w:tc>
          <w:tcPr>
            <w:tcW w:w="7377" w:type="dxa"/>
            <w:tcBorders>
              <w:top w:val="nil"/>
              <w:left w:val="single" w:sz="4" w:space="0" w:color="000000" w:themeColor="text1"/>
              <w:bottom w:val="single" w:sz="4" w:space="0" w:color="000000" w:themeColor="text1"/>
              <w:right w:val="single" w:sz="4" w:space="0" w:color="000000" w:themeColor="text1"/>
            </w:tcBorders>
            <w:vAlign w:val="bottom"/>
          </w:tcPr>
          <w:p w14:paraId="4F2896A2" w14:textId="0BD9D4AA" w:rsidR="00E73E0D" w:rsidRPr="00455FE3" w:rsidRDefault="00E73E0D" w:rsidP="001860FC">
            <w:pPr>
              <w:pStyle w:val="NoteIndent"/>
              <w:ind w:left="0" w:firstLine="0"/>
              <w:rPr>
                <w:sz w:val="22"/>
              </w:rPr>
            </w:pPr>
            <w:r w:rsidRPr="00455FE3">
              <w:rPr>
                <w:sz w:val="22"/>
                <w:szCs w:val="14"/>
              </w:rPr>
              <w:t xml:space="preserve">Variance between </w:t>
            </w:r>
            <w:r w:rsidR="000C39C3" w:rsidRPr="00455FE3">
              <w:rPr>
                <w:sz w:val="22"/>
                <w:szCs w:val="14"/>
              </w:rPr>
              <w:t>2016–17</w:t>
            </w:r>
            <w:r w:rsidRPr="00455FE3">
              <w:rPr>
                <w:sz w:val="22"/>
                <w:szCs w:val="14"/>
              </w:rPr>
              <w:t xml:space="preserve"> target/estimate and the </w:t>
            </w:r>
            <w:r w:rsidR="000C39C3" w:rsidRPr="00455FE3">
              <w:rPr>
                <w:sz w:val="22"/>
                <w:szCs w:val="14"/>
              </w:rPr>
              <w:t>2016–17</w:t>
            </w:r>
            <w:r w:rsidRPr="00455FE3">
              <w:rPr>
                <w:sz w:val="22"/>
                <w:szCs w:val="14"/>
              </w:rPr>
              <w:t xml:space="preserve"> actual is mainly due to the increase in contribution from expected higher volume of sales.</w:t>
            </w:r>
          </w:p>
        </w:tc>
        <w:tc>
          <w:tcPr>
            <w:tcW w:w="1246" w:type="dxa"/>
            <w:tcBorders>
              <w:top w:val="nil"/>
              <w:left w:val="single" w:sz="4" w:space="0" w:color="000000" w:themeColor="text1"/>
              <w:bottom w:val="single" w:sz="4" w:space="0" w:color="000000" w:themeColor="text1"/>
              <w:right w:val="single" w:sz="4" w:space="0" w:color="000000" w:themeColor="text1"/>
            </w:tcBorders>
            <w:vAlign w:val="bottom"/>
          </w:tcPr>
          <w:p w14:paraId="008CEEA9" w14:textId="77777777" w:rsidR="00E73E0D" w:rsidRPr="00455FE3" w:rsidRDefault="00E73E0D" w:rsidP="00CF0A4C">
            <w:pPr>
              <w:pStyle w:val="TableText"/>
              <w:rPr>
                <w:sz w:val="22"/>
              </w:rPr>
            </w:pPr>
          </w:p>
        </w:tc>
        <w:tc>
          <w:tcPr>
            <w:tcW w:w="1260" w:type="dxa"/>
            <w:tcBorders>
              <w:top w:val="nil"/>
              <w:left w:val="single" w:sz="4" w:space="0" w:color="000000" w:themeColor="text1"/>
              <w:bottom w:val="single" w:sz="4" w:space="0" w:color="000000" w:themeColor="text1"/>
              <w:right w:val="single" w:sz="4" w:space="0" w:color="000000" w:themeColor="text1"/>
            </w:tcBorders>
            <w:vAlign w:val="bottom"/>
          </w:tcPr>
          <w:p w14:paraId="39AC76F4" w14:textId="77777777" w:rsidR="00E73E0D" w:rsidRPr="00455FE3" w:rsidRDefault="00E73E0D" w:rsidP="00CF0A4C">
            <w:pPr>
              <w:pStyle w:val="TableText"/>
              <w:rPr>
                <w:sz w:val="22"/>
              </w:rPr>
            </w:pPr>
          </w:p>
        </w:tc>
      </w:tr>
      <w:tr w:rsidR="00E73E0D" w:rsidRPr="00246DD9" w14:paraId="5E41A935" w14:textId="77777777" w:rsidTr="00792F33">
        <w:tc>
          <w:tcPr>
            <w:tcW w:w="7377" w:type="dxa"/>
            <w:tcBorders>
              <w:top w:val="single" w:sz="4" w:space="0" w:color="000000" w:themeColor="text1"/>
              <w:left w:val="single" w:sz="4" w:space="0" w:color="000000" w:themeColor="text1"/>
              <w:bottom w:val="nil"/>
              <w:right w:val="single" w:sz="4" w:space="0" w:color="000000" w:themeColor="text1"/>
            </w:tcBorders>
            <w:vAlign w:val="bottom"/>
          </w:tcPr>
          <w:p w14:paraId="74199910" w14:textId="77777777" w:rsidR="00E73E0D" w:rsidRPr="00455FE3" w:rsidRDefault="00E73E0D" w:rsidP="00CF0A4C">
            <w:pPr>
              <w:pStyle w:val="TableText"/>
              <w:rPr>
                <w:sz w:val="22"/>
              </w:rPr>
            </w:pPr>
            <w:r w:rsidRPr="00455FE3">
              <w:rPr>
                <w:sz w:val="22"/>
              </w:rPr>
              <w:t>Current ratio</w:t>
            </w:r>
          </w:p>
        </w:tc>
        <w:tc>
          <w:tcPr>
            <w:tcW w:w="1246" w:type="dxa"/>
            <w:tcBorders>
              <w:top w:val="single" w:sz="4" w:space="0" w:color="000000" w:themeColor="text1"/>
              <w:left w:val="single" w:sz="4" w:space="0" w:color="000000" w:themeColor="text1"/>
              <w:bottom w:val="nil"/>
              <w:right w:val="single" w:sz="4" w:space="0" w:color="000000" w:themeColor="text1"/>
            </w:tcBorders>
            <w:vAlign w:val="bottom"/>
          </w:tcPr>
          <w:p w14:paraId="6C36CD06" w14:textId="77777777" w:rsidR="00E73E0D" w:rsidRPr="00455FE3" w:rsidRDefault="00E73E0D" w:rsidP="00CF0A4C">
            <w:pPr>
              <w:pStyle w:val="TableTextRight"/>
              <w:rPr>
                <w:sz w:val="22"/>
              </w:rPr>
            </w:pPr>
            <w:r w:rsidRPr="00455FE3">
              <w:rPr>
                <w:sz w:val="22"/>
              </w:rPr>
              <w:t>1.75:1</w:t>
            </w:r>
          </w:p>
        </w:tc>
        <w:tc>
          <w:tcPr>
            <w:tcW w:w="1260" w:type="dxa"/>
            <w:tcBorders>
              <w:top w:val="single" w:sz="4" w:space="0" w:color="000000" w:themeColor="text1"/>
              <w:left w:val="single" w:sz="4" w:space="0" w:color="000000" w:themeColor="text1"/>
              <w:bottom w:val="nil"/>
              <w:right w:val="single" w:sz="4" w:space="0" w:color="000000" w:themeColor="text1"/>
            </w:tcBorders>
            <w:vAlign w:val="bottom"/>
          </w:tcPr>
          <w:p w14:paraId="0D645C9D" w14:textId="69B7A3F8" w:rsidR="00E73E0D" w:rsidRPr="00455FE3" w:rsidRDefault="00E73E0D" w:rsidP="00CF0A4C">
            <w:pPr>
              <w:pStyle w:val="TableTextRight"/>
              <w:rPr>
                <w:sz w:val="22"/>
              </w:rPr>
            </w:pPr>
            <w:r w:rsidRPr="00455FE3">
              <w:rPr>
                <w:sz w:val="22"/>
              </w:rPr>
              <w:t>1.</w:t>
            </w:r>
            <w:r w:rsidR="00E3492B" w:rsidRPr="00455FE3">
              <w:rPr>
                <w:sz w:val="22"/>
              </w:rPr>
              <w:t>55:</w:t>
            </w:r>
            <w:r w:rsidRPr="00455FE3">
              <w:rPr>
                <w:sz w:val="22"/>
              </w:rPr>
              <w:t>1</w:t>
            </w:r>
          </w:p>
        </w:tc>
      </w:tr>
      <w:tr w:rsidR="00E73E0D" w:rsidRPr="00AE6204" w14:paraId="74D6B8E9" w14:textId="77777777" w:rsidTr="00792F33">
        <w:tc>
          <w:tcPr>
            <w:tcW w:w="7377" w:type="dxa"/>
            <w:tcBorders>
              <w:top w:val="nil"/>
              <w:left w:val="single" w:sz="4" w:space="0" w:color="000000" w:themeColor="text1"/>
              <w:bottom w:val="single" w:sz="4" w:space="0" w:color="000000" w:themeColor="text1"/>
              <w:right w:val="single" w:sz="4" w:space="0" w:color="000000" w:themeColor="text1"/>
            </w:tcBorders>
            <w:vAlign w:val="bottom"/>
          </w:tcPr>
          <w:p w14:paraId="18053C9C" w14:textId="30B8F87B" w:rsidR="00E73E0D" w:rsidRPr="00455FE3" w:rsidRDefault="00E73E0D" w:rsidP="001860FC">
            <w:pPr>
              <w:pStyle w:val="NoteIndent"/>
              <w:ind w:left="0" w:firstLine="0"/>
              <w:rPr>
                <w:sz w:val="22"/>
                <w:szCs w:val="14"/>
              </w:rPr>
            </w:pPr>
            <w:r w:rsidRPr="00455FE3">
              <w:rPr>
                <w:sz w:val="22"/>
                <w:szCs w:val="14"/>
              </w:rPr>
              <w:t xml:space="preserve">Variance between </w:t>
            </w:r>
            <w:r w:rsidR="000C39C3" w:rsidRPr="00455FE3">
              <w:rPr>
                <w:sz w:val="22"/>
                <w:szCs w:val="14"/>
              </w:rPr>
              <w:t>2016–17</w:t>
            </w:r>
            <w:r w:rsidRPr="00455FE3">
              <w:rPr>
                <w:sz w:val="22"/>
                <w:szCs w:val="14"/>
              </w:rPr>
              <w:t xml:space="preserve"> target/estimate and </w:t>
            </w:r>
            <w:r w:rsidR="000C39C3" w:rsidRPr="00455FE3">
              <w:rPr>
                <w:sz w:val="22"/>
                <w:szCs w:val="14"/>
              </w:rPr>
              <w:t>2016–17</w:t>
            </w:r>
            <w:r w:rsidRPr="00455FE3">
              <w:rPr>
                <w:sz w:val="22"/>
                <w:szCs w:val="14"/>
              </w:rPr>
              <w:t xml:space="preserve"> actual is mainly due to higher cash balance at the start of the year than originally budgeted, and an increase in payables due to the anticipated increase in contractors’ invoices reflecting the higher volume of work at the end of the financial year.</w:t>
            </w:r>
          </w:p>
        </w:tc>
        <w:tc>
          <w:tcPr>
            <w:tcW w:w="1246" w:type="dxa"/>
            <w:tcBorders>
              <w:top w:val="nil"/>
              <w:left w:val="single" w:sz="4" w:space="0" w:color="000000" w:themeColor="text1"/>
              <w:bottom w:val="single" w:sz="4" w:space="0" w:color="000000" w:themeColor="text1"/>
              <w:right w:val="single" w:sz="4" w:space="0" w:color="000000" w:themeColor="text1"/>
            </w:tcBorders>
            <w:vAlign w:val="bottom"/>
          </w:tcPr>
          <w:p w14:paraId="50401B75" w14:textId="77777777" w:rsidR="00E73E0D" w:rsidRPr="00455FE3" w:rsidRDefault="00E73E0D" w:rsidP="00CF0A4C">
            <w:pPr>
              <w:pStyle w:val="TableText"/>
              <w:rPr>
                <w:sz w:val="22"/>
              </w:rPr>
            </w:pPr>
          </w:p>
        </w:tc>
        <w:tc>
          <w:tcPr>
            <w:tcW w:w="1260" w:type="dxa"/>
            <w:tcBorders>
              <w:top w:val="nil"/>
              <w:left w:val="single" w:sz="4" w:space="0" w:color="000000" w:themeColor="text1"/>
              <w:bottom w:val="single" w:sz="4" w:space="0" w:color="000000" w:themeColor="text1"/>
              <w:right w:val="single" w:sz="4" w:space="0" w:color="000000" w:themeColor="text1"/>
            </w:tcBorders>
            <w:vAlign w:val="bottom"/>
          </w:tcPr>
          <w:p w14:paraId="466A3DEE" w14:textId="77777777" w:rsidR="00E73E0D" w:rsidRPr="00455FE3" w:rsidRDefault="00E73E0D" w:rsidP="00CF0A4C">
            <w:pPr>
              <w:pStyle w:val="TableText"/>
              <w:rPr>
                <w:sz w:val="22"/>
              </w:rPr>
            </w:pPr>
          </w:p>
        </w:tc>
      </w:tr>
    </w:tbl>
    <w:p w14:paraId="4E322DE2" w14:textId="3AD1F6F4" w:rsidR="00FC3435" w:rsidRDefault="00FC3435" w:rsidP="00CF0A4C"/>
    <w:p w14:paraId="19CC3C48" w14:textId="77777777" w:rsidR="00455FE3" w:rsidRDefault="00455FE3">
      <w:pPr>
        <w:spacing w:line="259" w:lineRule="auto"/>
        <w:rPr>
          <w:rFonts w:eastAsiaTheme="majorEastAsia" w:cstheme="majorBidi"/>
          <w:b/>
          <w:smallCaps/>
          <w:color w:val="000000" w:themeColor="text1"/>
          <w:sz w:val="40"/>
          <w:szCs w:val="26"/>
        </w:rPr>
      </w:pPr>
      <w:bookmarkStart w:id="35" w:name="_Toc494984629"/>
      <w:r>
        <w:br w:type="page"/>
      </w:r>
    </w:p>
    <w:p w14:paraId="76170446" w14:textId="3D484D5A" w:rsidR="00FC3435" w:rsidRPr="0060687B" w:rsidRDefault="00FC3435" w:rsidP="0004270E">
      <w:pPr>
        <w:pStyle w:val="Heading2"/>
      </w:pPr>
      <w:r w:rsidRPr="0060687B">
        <w:lastRenderedPageBreak/>
        <w:t>QFleet</w:t>
      </w:r>
      <w:bookmarkEnd w:id="35"/>
    </w:p>
    <w:p w14:paraId="6C0BF514" w14:textId="46376C6C" w:rsidR="00FC3435" w:rsidRPr="00216984" w:rsidRDefault="00FC3435" w:rsidP="00792F33">
      <w:pPr>
        <w:pStyle w:val="Heading3"/>
      </w:pPr>
      <w:r w:rsidRPr="00CB45B4">
        <w:t xml:space="preserve">Our </w:t>
      </w:r>
      <w:r w:rsidR="005B2C2C">
        <w:t>O</w:t>
      </w:r>
      <w:r w:rsidRPr="00CB45B4">
        <w:t>bjective</w:t>
      </w:r>
    </w:p>
    <w:p w14:paraId="21C5DFA7" w14:textId="77777777" w:rsidR="00FC3435" w:rsidRPr="00DA6B9A" w:rsidRDefault="00FC3435" w:rsidP="00CF0A4C">
      <w:r w:rsidRPr="00DA6B9A">
        <w:t xml:space="preserve">To deliver benefits to the Government through aggregated procurement of vehicles and associated services, and provide a central pool of expertise in fleet management. </w:t>
      </w:r>
    </w:p>
    <w:p w14:paraId="3F21C5FC" w14:textId="656DED59" w:rsidR="00FC3435" w:rsidRPr="00216984" w:rsidRDefault="00FC3435" w:rsidP="00792F33">
      <w:pPr>
        <w:pStyle w:val="Heading3"/>
      </w:pPr>
      <w:r w:rsidRPr="00CB45B4">
        <w:t xml:space="preserve">What </w:t>
      </w:r>
      <w:r w:rsidR="001860FC">
        <w:t>W</w:t>
      </w:r>
      <w:r w:rsidRPr="00CB45B4">
        <w:t xml:space="preserve">e </w:t>
      </w:r>
      <w:r w:rsidR="001860FC">
        <w:t>D</w:t>
      </w:r>
      <w:r w:rsidRPr="00CB45B4">
        <w:t>o</w:t>
      </w:r>
    </w:p>
    <w:p w14:paraId="0DB536DB" w14:textId="77777777" w:rsidR="00FC3435" w:rsidRPr="00DA6B9A" w:rsidRDefault="00FC3435" w:rsidP="00CF0A4C">
      <w:r w:rsidRPr="00DA6B9A">
        <w:t xml:space="preserve">QFleet is responsible for whole-of-government fleet policy development and implementation. Services include vehicle procurement and contract management, fleet advisory services to public sector departments, as well as government-funded organisations, in-service maintenance, accident management, and end-of-life repairs and vehicle remarketing. This supports government agencies to meet their service delivery outcomes for the community. </w:t>
      </w:r>
    </w:p>
    <w:p w14:paraId="512A5D77" w14:textId="039BA4E5" w:rsidR="002B079C" w:rsidRPr="004F3CFF" w:rsidRDefault="002B079C" w:rsidP="00792F33">
      <w:pPr>
        <w:pStyle w:val="Heading3"/>
      </w:pPr>
      <w:r>
        <w:t>Our A</w:t>
      </w:r>
      <w:r w:rsidRPr="004F3CFF">
        <w:t>chievements</w:t>
      </w:r>
    </w:p>
    <w:p w14:paraId="74DE97E7" w14:textId="6771215C" w:rsidR="004B5AF5" w:rsidRDefault="00C2102D" w:rsidP="00CF0A4C">
      <w:r w:rsidRPr="00F071D2">
        <w:t xml:space="preserve">In </w:t>
      </w:r>
      <w:r w:rsidRPr="001A6130">
        <w:t>2016</w:t>
      </w:r>
      <w:r w:rsidR="00055E76">
        <w:t>–</w:t>
      </w:r>
      <w:r>
        <w:t>17</w:t>
      </w:r>
      <w:r w:rsidR="004159AC">
        <w:t>,</w:t>
      </w:r>
      <w:r>
        <w:t xml:space="preserve"> we</w:t>
      </w:r>
      <w:r w:rsidR="004B5AF5">
        <w:t>:</w:t>
      </w:r>
      <w:r>
        <w:t xml:space="preserve"> </w:t>
      </w:r>
    </w:p>
    <w:p w14:paraId="7B703610" w14:textId="5B3BF6CD" w:rsidR="0058053B" w:rsidRPr="0058053B" w:rsidRDefault="0058053B" w:rsidP="00096C6C">
      <w:pPr>
        <w:pStyle w:val="Bullets"/>
      </w:pPr>
      <w:r w:rsidRPr="0058053B">
        <w:t>completed the car sharing proof-of-concept in the Brisbane CBD to improve motor vehicle utilisation and distribution</w:t>
      </w:r>
      <w:r w:rsidR="001860FC">
        <w:t>,</w:t>
      </w:r>
      <w:r w:rsidRPr="0058053B">
        <w:t xml:space="preserve"> by providing access to pooled motor vehicles using leading edge technology</w:t>
      </w:r>
    </w:p>
    <w:p w14:paraId="1AD7012C" w14:textId="502C6F5F" w:rsidR="0058053B" w:rsidRPr="0058053B" w:rsidRDefault="0058053B" w:rsidP="00096C6C">
      <w:pPr>
        <w:pStyle w:val="Bullets"/>
      </w:pPr>
      <w:r w:rsidRPr="0058053B">
        <w:t>introduced improved motor vehicle emissions standards for vehicle procurement</w:t>
      </w:r>
      <w:r w:rsidR="001860FC">
        <w:t>,</w:t>
      </w:r>
      <w:r w:rsidRPr="0058053B">
        <w:t xml:space="preserve"> to remove vehicles with higher emissions from the fleet</w:t>
      </w:r>
    </w:p>
    <w:p w14:paraId="4554A41D" w14:textId="3605904E" w:rsidR="0058053B" w:rsidRPr="0058053B" w:rsidRDefault="0058053B" w:rsidP="00096C6C">
      <w:pPr>
        <w:pStyle w:val="Bullets"/>
      </w:pPr>
      <w:r w:rsidRPr="0058053B">
        <w:t>established a whole-of-government panel arrangement for in-vehicle monitoring systems and fleet optimisation services</w:t>
      </w:r>
      <w:r w:rsidR="00AD1BF3">
        <w:t>,</w:t>
      </w:r>
      <w:r w:rsidRPr="0058053B">
        <w:t xml:space="preserve"> to provide a tool for agencies to collect vehicle data to enable more efficient and cost-effective use of their vehicles</w:t>
      </w:r>
    </w:p>
    <w:p w14:paraId="5B28D00A" w14:textId="5A97963B" w:rsidR="0058053B" w:rsidRPr="0058053B" w:rsidRDefault="0058053B" w:rsidP="00096C6C">
      <w:pPr>
        <w:pStyle w:val="Bullets"/>
      </w:pPr>
      <w:r w:rsidRPr="0058053B">
        <w:t>renegotiated aggregated procurement arrangements with vehicle manufacturers</w:t>
      </w:r>
      <w:r w:rsidR="00AD1BF3">
        <w:t>,</w:t>
      </w:r>
      <w:r w:rsidRPr="0058053B">
        <w:t xml:space="preserve"> leading to cost savings to government</w:t>
      </w:r>
    </w:p>
    <w:p w14:paraId="47C1F1DD" w14:textId="77777777" w:rsidR="0058053B" w:rsidRPr="0058053B" w:rsidRDefault="0058053B" w:rsidP="00D675BC">
      <w:pPr>
        <w:pStyle w:val="Bullets"/>
      </w:pPr>
      <w:r w:rsidRPr="0058053B">
        <w:t>established the inter-departmental Road Safety Focus Network to link government fleet managers with workplace health and safety officers to share ideas to improve the safety of government drivers</w:t>
      </w:r>
    </w:p>
    <w:p w14:paraId="76688A24" w14:textId="22E9A5E9" w:rsidR="0058053B" w:rsidRPr="0058053B" w:rsidRDefault="0058053B" w:rsidP="00E05961">
      <w:pPr>
        <w:pStyle w:val="Bullets"/>
      </w:pPr>
      <w:r w:rsidRPr="0058053B">
        <w:t xml:space="preserve">sourced and fitted out nine fit-for-purpose Dog Squad Vehicles for </w:t>
      </w:r>
      <w:r w:rsidR="00AD1BF3">
        <w:t xml:space="preserve">Queensland </w:t>
      </w:r>
      <w:r w:rsidRPr="0058053B">
        <w:t>Corrective Services, specially configured to ensure the safe, comfortable and secure housing of the dogs during transportation</w:t>
      </w:r>
    </w:p>
    <w:p w14:paraId="238885A2" w14:textId="45F05672" w:rsidR="0058053B" w:rsidRPr="0058053B" w:rsidRDefault="0058053B">
      <w:pPr>
        <w:pStyle w:val="Bullets"/>
      </w:pPr>
      <w:r w:rsidRPr="0058053B">
        <w:t>coordinated the delivery of two Land Cruisers, fitted with security features, to Aurukun for the Department of Education and Training</w:t>
      </w:r>
      <w:r w:rsidR="006D6874" w:rsidRPr="690957E2">
        <w:t>.</w:t>
      </w:r>
    </w:p>
    <w:p w14:paraId="66689527" w14:textId="75FBE346" w:rsidR="002B079C" w:rsidRPr="00E52E16" w:rsidRDefault="002B079C" w:rsidP="00792F33">
      <w:pPr>
        <w:pStyle w:val="Heading3"/>
      </w:pPr>
      <w:r w:rsidRPr="00E52E16">
        <w:t xml:space="preserve">Our </w:t>
      </w:r>
      <w:r w:rsidR="00AD1BF3">
        <w:t>F</w:t>
      </w:r>
      <w:r w:rsidRPr="00E52E16">
        <w:t>uture</w:t>
      </w:r>
      <w:r>
        <w:t xml:space="preserve"> </w:t>
      </w:r>
      <w:r w:rsidR="00AD1BF3">
        <w:t>F</w:t>
      </w:r>
      <w:r>
        <w:t>ocus</w:t>
      </w:r>
    </w:p>
    <w:p w14:paraId="3BD7259C" w14:textId="401470AE" w:rsidR="00F86977" w:rsidRPr="00E52E16" w:rsidRDefault="00F86977" w:rsidP="00CF0A4C">
      <w:r>
        <w:t>In 201</w:t>
      </w:r>
      <w:r w:rsidR="00055E76">
        <w:t>7</w:t>
      </w:r>
      <w:r>
        <w:t>–1</w:t>
      </w:r>
      <w:r w:rsidR="00055E76">
        <w:t>8</w:t>
      </w:r>
      <w:r>
        <w:t xml:space="preserve">, the department will continue to deliver initiatives that will make a difference to Queenslanders through:  </w:t>
      </w:r>
    </w:p>
    <w:p w14:paraId="40AC316F" w14:textId="4490B7DE" w:rsidR="0058053B" w:rsidRPr="0058053B" w:rsidRDefault="0058053B" w:rsidP="00096C6C">
      <w:pPr>
        <w:pStyle w:val="Bullets"/>
      </w:pPr>
      <w:r w:rsidRPr="0058053B">
        <w:t>developing a strategy to increase the number of electric vehicles in the fleet</w:t>
      </w:r>
    </w:p>
    <w:p w14:paraId="28F145CB" w14:textId="77777777" w:rsidR="0058053B" w:rsidRPr="0058053B" w:rsidRDefault="0058053B" w:rsidP="00096C6C">
      <w:pPr>
        <w:pStyle w:val="Bullets"/>
      </w:pPr>
      <w:r w:rsidRPr="0058053B">
        <w:t>investigating the feasibility of expanding the government car-sharing model to a regional location</w:t>
      </w:r>
    </w:p>
    <w:p w14:paraId="4B0F47C0" w14:textId="77777777" w:rsidR="0058053B" w:rsidRPr="0058053B" w:rsidRDefault="0058053B" w:rsidP="00096C6C">
      <w:pPr>
        <w:pStyle w:val="Bullets"/>
      </w:pPr>
      <w:r w:rsidRPr="0058053B">
        <w:t>investigating alternative products and services to enhance QFleet’s provision of efficient and cost-effective transport solutions</w:t>
      </w:r>
    </w:p>
    <w:p w14:paraId="1AD02EFE" w14:textId="11130AB8" w:rsidR="004B5AF5" w:rsidRDefault="0058053B" w:rsidP="00096C6C">
      <w:pPr>
        <w:pStyle w:val="Bullets"/>
      </w:pPr>
      <w:r w:rsidRPr="0058053B">
        <w:t>establishing a standing offer arrangement for whole-of-government use, to leverage spend on tyres and associated services through an approved panel of suppliers who are mandated to be members of Tyre Stewardship Australia</w:t>
      </w:r>
      <w:r w:rsidR="005B2C2C">
        <w:t>.</w:t>
      </w:r>
    </w:p>
    <w:p w14:paraId="228EE8FF" w14:textId="397FA250" w:rsidR="00E94801" w:rsidRDefault="00E94801" w:rsidP="00912E38">
      <w:pPr>
        <w:pStyle w:val="Bullets"/>
        <w:numPr>
          <w:ilvl w:val="0"/>
          <w:numId w:val="0"/>
        </w:numPr>
        <w:ind w:left="378"/>
      </w:pPr>
    </w:p>
    <w:p w14:paraId="649FBF13" w14:textId="77777777" w:rsidR="00DC4782" w:rsidRPr="008B3A47" w:rsidRDefault="00DC4782" w:rsidP="00DC4782">
      <w:pPr>
        <w:rPr>
          <w:b/>
        </w:rPr>
      </w:pPr>
      <w:r w:rsidRPr="008B3A47">
        <w:rPr>
          <w:b/>
        </w:rPr>
        <w:lastRenderedPageBreak/>
        <w:t xml:space="preserve">QFleet - mobilising our workforce for more than 25 years </w:t>
      </w:r>
    </w:p>
    <w:p w14:paraId="5F7224E0" w14:textId="77777777" w:rsidR="00DC4782" w:rsidRDefault="00DC4782" w:rsidP="00DC4782">
      <w:r>
        <w:t xml:space="preserve">This year marked the 25th anniversary of QFleet. QFleet is one of the largest fleet managers and new car purchasers in Queensland. </w:t>
      </w:r>
    </w:p>
    <w:p w14:paraId="38FD9192" w14:textId="77777777" w:rsidR="00DC4782" w:rsidRDefault="00DC4782" w:rsidP="00DC4782">
      <w:r>
        <w:t xml:space="preserve">QFleet is about much more than just buying, selling and hiring cars. In QFleet, evolution is part of business as usual. </w:t>
      </w:r>
    </w:p>
    <w:p w14:paraId="72C672F7" w14:textId="77777777" w:rsidR="00DC4782" w:rsidRDefault="00DC4782" w:rsidP="00DC4782">
      <w:r>
        <w:t xml:space="preserve">Electric vehicle integration, ride sharing, Tesla and self-driving vehicle trials are all part of the vision of the future for QFleet. </w:t>
      </w:r>
    </w:p>
    <w:p w14:paraId="42356145" w14:textId="77777777" w:rsidR="00DC4782" w:rsidRDefault="00DC4782" w:rsidP="00DC4782">
      <w:r>
        <w:t xml:space="preserve">Felicity Hawthorne, Acting General Manager of QFleet at the time of the anniversary said, "We are leaders, so we know we need to be on the front foot - not just in terms of providing transport but being a transport solutions provider". </w:t>
      </w:r>
    </w:p>
    <w:p w14:paraId="14E17181" w14:textId="77777777" w:rsidR="00DC4782" w:rsidRDefault="00DC4782" w:rsidP="00DC4782">
      <w:r>
        <w:t xml:space="preserve">"Most people understand that cars are depreciating assets, so our challenge is to deliver fleet vehicles that are fit for purpose, meet ANCAP Rating 5 standard safety criteria where we can, and deliver low or no emissions - all at the lowest total cost," Felicity explained. </w:t>
      </w:r>
    </w:p>
    <w:p w14:paraId="27CC28BF" w14:textId="77777777" w:rsidR="00DC4782" w:rsidRDefault="00DC4782" w:rsidP="00DC4782">
      <w:r>
        <w:t xml:space="preserve">Standing still is not an option in this dynamic industry- and that goes for QFleet's customer service focussed team too. Relationships are key - not only with customers, but with suppliers. In 2016-17, our effort continued to be rewarded through excellent customer satisfaction ratings. </w:t>
      </w:r>
    </w:p>
    <w:p w14:paraId="5E43FAC8" w14:textId="77777777" w:rsidR="00DC4782" w:rsidRDefault="00DC4782" w:rsidP="00DC4782">
      <w:r>
        <w:t xml:space="preserve">"We know our role is important, and we know the work we do is intricately linked to every one of our department's plans. That might be in terms of building and housing, where we're mobilising staff delivering frontline services in every part of the state, or in terms of procurement where we're focussed on delivering the safest, low cost, low emission vehicles," she said. </w:t>
      </w:r>
    </w:p>
    <w:p w14:paraId="70F8AADD" w14:textId="77777777" w:rsidR="00DC4782" w:rsidRDefault="00DC4782" w:rsidP="00DC4782">
      <w:r>
        <w:t xml:space="preserve">"We're all about keeping public servants safe as they go about their work. It might not be frontline, but every member of my team knows how important this work is. </w:t>
      </w:r>
    </w:p>
    <w:p w14:paraId="0EBFC2D2" w14:textId="77777777" w:rsidR="00DC4782" w:rsidRDefault="00DC4782" w:rsidP="00DC4782">
      <w:r>
        <w:t>"And that's something we're proud of, every day."</w:t>
      </w:r>
    </w:p>
    <w:p w14:paraId="6DA1A05E" w14:textId="77777777" w:rsidR="00DC4782" w:rsidRDefault="00DC4782" w:rsidP="00DC4782">
      <w:r>
        <w:t>IMAGE: LADY SITTING IN CAR</w:t>
      </w:r>
    </w:p>
    <w:p w14:paraId="7C062F05" w14:textId="1031FAA4" w:rsidR="00FC3435" w:rsidRPr="00216984" w:rsidRDefault="00FC3435" w:rsidP="00792F33">
      <w:pPr>
        <w:pStyle w:val="Heading3"/>
      </w:pPr>
      <w:r w:rsidRPr="00CB45B4">
        <w:t>Service Standard</w:t>
      </w:r>
      <w:r w:rsidR="005B2C2C">
        <w:t>s</w:t>
      </w:r>
      <w:r w:rsidR="00FA69D6">
        <w:t xml:space="preserve"> – Our Results for 2016–17</w:t>
      </w:r>
    </w:p>
    <w:tbl>
      <w:tblPr>
        <w:tblW w:w="9498" w:type="dxa"/>
        <w:tblInd w:w="-5" w:type="dxa"/>
        <w:tblBorders>
          <w:top w:val="single" w:sz="4" w:space="0" w:color="398E98" w:themeColor="accent2" w:themeShade="BF"/>
          <w:left w:val="single" w:sz="4" w:space="0" w:color="398E98" w:themeColor="accent2" w:themeShade="BF"/>
          <w:bottom w:val="single" w:sz="4" w:space="0" w:color="398E98" w:themeColor="accent2" w:themeShade="BF"/>
          <w:right w:val="single" w:sz="4" w:space="0" w:color="398E98" w:themeColor="accent2" w:themeShade="BF"/>
          <w:insideH w:val="single" w:sz="4" w:space="0" w:color="398E98" w:themeColor="accent2" w:themeShade="BF"/>
          <w:insideV w:val="single" w:sz="4" w:space="0" w:color="398E98" w:themeColor="accent2" w:themeShade="BF"/>
        </w:tblBorders>
        <w:tblLayout w:type="fixed"/>
        <w:tblLook w:val="01E0" w:firstRow="1" w:lastRow="1" w:firstColumn="1" w:lastColumn="1" w:noHBand="0" w:noVBand="0"/>
      </w:tblPr>
      <w:tblGrid>
        <w:gridCol w:w="6663"/>
        <w:gridCol w:w="1275"/>
        <w:gridCol w:w="1560"/>
      </w:tblGrid>
      <w:tr w:rsidR="000D23EC" w:rsidRPr="00D84164" w14:paraId="61F20E0F" w14:textId="77777777" w:rsidTr="00792F33">
        <w:trPr>
          <w:tblHeader/>
        </w:trPr>
        <w:tc>
          <w:tcPr>
            <w:tcW w:w="66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1446CD41" w14:textId="77777777" w:rsidR="000D23EC" w:rsidRPr="00DC4782" w:rsidRDefault="000D23EC" w:rsidP="00CF0A4C">
            <w:pPr>
              <w:pStyle w:val="TableTextHeading"/>
              <w:rPr>
                <w:sz w:val="22"/>
              </w:rPr>
            </w:pPr>
            <w:r w:rsidRPr="00DC4782">
              <w:rPr>
                <w:sz w:val="22"/>
              </w:rPr>
              <w:t>QFleet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69CDD2F5" w14:textId="31DF49C4" w:rsidR="000D23EC" w:rsidRPr="00DC4782" w:rsidRDefault="000C39C3" w:rsidP="00CF0A4C">
            <w:pPr>
              <w:pStyle w:val="TableTextHeading"/>
              <w:rPr>
                <w:sz w:val="22"/>
              </w:rPr>
            </w:pPr>
            <w:r w:rsidRPr="00DC4782">
              <w:rPr>
                <w:sz w:val="22"/>
              </w:rPr>
              <w:t>2016–17</w:t>
            </w:r>
          </w:p>
          <w:p w14:paraId="1822F705" w14:textId="77777777" w:rsidR="000D23EC" w:rsidRPr="00DC4782" w:rsidRDefault="000D23EC" w:rsidP="00CF0A4C">
            <w:pPr>
              <w:pStyle w:val="TableTextHeading"/>
              <w:rPr>
                <w:sz w:val="22"/>
              </w:rPr>
            </w:pPr>
            <w:r w:rsidRPr="00DC4782">
              <w:rPr>
                <w:sz w:val="22"/>
              </w:rPr>
              <w:t>Target/Est.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text1" w:themeFillTint="7F"/>
            <w:vAlign w:val="center"/>
            <w:hideMark/>
          </w:tcPr>
          <w:p w14:paraId="106B3184" w14:textId="5E1DBE57" w:rsidR="000D23EC" w:rsidRPr="00DC4782" w:rsidRDefault="000C39C3" w:rsidP="00CF0A4C">
            <w:pPr>
              <w:pStyle w:val="TableTextHeading"/>
              <w:rPr>
                <w:sz w:val="22"/>
              </w:rPr>
            </w:pPr>
            <w:r w:rsidRPr="00DC4782">
              <w:rPr>
                <w:sz w:val="22"/>
              </w:rPr>
              <w:t>2016–17</w:t>
            </w:r>
          </w:p>
          <w:p w14:paraId="7B575F5B" w14:textId="77777777" w:rsidR="000D23EC" w:rsidRPr="00DC4782" w:rsidRDefault="000D23EC" w:rsidP="00CF0A4C">
            <w:pPr>
              <w:pStyle w:val="TableTextHeading"/>
              <w:rPr>
                <w:sz w:val="22"/>
              </w:rPr>
            </w:pPr>
            <w:r w:rsidRPr="00DC4782">
              <w:rPr>
                <w:sz w:val="22"/>
              </w:rPr>
              <w:t>Actual</w:t>
            </w:r>
          </w:p>
        </w:tc>
      </w:tr>
      <w:tr w:rsidR="000D23EC" w:rsidRPr="00414E57" w14:paraId="0A262A41" w14:textId="77777777" w:rsidTr="00792F33">
        <w:tc>
          <w:tcPr>
            <w:tcW w:w="6663"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14:paraId="1E1233C9" w14:textId="361BFD27" w:rsidR="000D23EC" w:rsidRPr="00DC4782" w:rsidRDefault="00DC05F5" w:rsidP="00CF0A4C">
            <w:pPr>
              <w:pStyle w:val="TableTextBold"/>
              <w:rPr>
                <w:sz w:val="22"/>
              </w:rPr>
            </w:pPr>
            <w:r w:rsidRPr="00DC4782">
              <w:rPr>
                <w:sz w:val="22"/>
              </w:rPr>
              <w:t xml:space="preserve">Effectiveness </w:t>
            </w:r>
            <w:r w:rsidR="000D23EC" w:rsidRPr="00DC4782">
              <w:rPr>
                <w:sz w:val="22"/>
              </w:rPr>
              <w:t>measure</w:t>
            </w:r>
            <w:r w:rsidRPr="00DC4782">
              <w:rPr>
                <w:sz w:val="22"/>
              </w:rPr>
              <w:t>s</w:t>
            </w:r>
          </w:p>
        </w:tc>
        <w:tc>
          <w:tcPr>
            <w:tcW w:w="1275" w:type="dxa"/>
            <w:tcBorders>
              <w:top w:val="single" w:sz="4" w:space="0" w:color="000000" w:themeColor="text1"/>
              <w:bottom w:val="single" w:sz="4" w:space="0" w:color="000000" w:themeColor="text1"/>
            </w:tcBorders>
            <w:shd w:val="clear" w:color="auto" w:fill="D9D9D9" w:themeFill="background1" w:themeFillShade="D9"/>
            <w:vAlign w:val="bottom"/>
          </w:tcPr>
          <w:p w14:paraId="71BC216A" w14:textId="77777777" w:rsidR="000D23EC" w:rsidRPr="00DC4782" w:rsidRDefault="000D23EC" w:rsidP="00CF0A4C">
            <w:pPr>
              <w:pStyle w:val="TableTextRight"/>
              <w:rPr>
                <w:sz w:val="22"/>
              </w:rPr>
            </w:pPr>
          </w:p>
        </w:tc>
        <w:tc>
          <w:tcPr>
            <w:tcW w:w="156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95AC436" w14:textId="77777777" w:rsidR="000D23EC" w:rsidRPr="00DC4782" w:rsidRDefault="000D23EC" w:rsidP="00CF0A4C">
            <w:pPr>
              <w:pStyle w:val="TableTextRight"/>
              <w:rPr>
                <w:sz w:val="22"/>
              </w:rPr>
            </w:pPr>
          </w:p>
        </w:tc>
      </w:tr>
      <w:tr w:rsidR="000D23EC" w:rsidRPr="00414E57" w14:paraId="788BB239" w14:textId="77777777" w:rsidTr="00792F33">
        <w:tc>
          <w:tcPr>
            <w:tcW w:w="6663" w:type="dxa"/>
            <w:tcBorders>
              <w:top w:val="single" w:sz="4" w:space="0" w:color="000000" w:themeColor="text1"/>
              <w:left w:val="single" w:sz="4" w:space="0" w:color="000000" w:themeColor="text1"/>
              <w:bottom w:val="nil"/>
              <w:right w:val="single" w:sz="4" w:space="0" w:color="000000" w:themeColor="text1"/>
            </w:tcBorders>
            <w:vAlign w:val="bottom"/>
            <w:hideMark/>
          </w:tcPr>
          <w:p w14:paraId="752FC2E5" w14:textId="77777777" w:rsidR="000D23EC" w:rsidRPr="00DC4782" w:rsidRDefault="000D23EC" w:rsidP="00CF0A4C">
            <w:pPr>
              <w:pStyle w:val="TableText"/>
              <w:rPr>
                <w:sz w:val="22"/>
              </w:rPr>
            </w:pPr>
            <w:r w:rsidRPr="00DC4782">
              <w:rPr>
                <w:sz w:val="22"/>
              </w:rPr>
              <w:t>Overall customer satisfaction</w:t>
            </w:r>
          </w:p>
        </w:tc>
        <w:tc>
          <w:tcPr>
            <w:tcW w:w="1275" w:type="dxa"/>
            <w:tcBorders>
              <w:top w:val="single" w:sz="4" w:space="0" w:color="000000" w:themeColor="text1"/>
              <w:left w:val="single" w:sz="4" w:space="0" w:color="000000" w:themeColor="text1"/>
              <w:bottom w:val="nil"/>
              <w:right w:val="single" w:sz="4" w:space="0" w:color="000000" w:themeColor="text1"/>
            </w:tcBorders>
            <w:vAlign w:val="bottom"/>
          </w:tcPr>
          <w:p w14:paraId="04B26BF1" w14:textId="77777777" w:rsidR="000D23EC" w:rsidRPr="00DC4782" w:rsidRDefault="000D23EC" w:rsidP="00CF0A4C">
            <w:pPr>
              <w:pStyle w:val="TableTextRight"/>
              <w:rPr>
                <w:sz w:val="22"/>
              </w:rPr>
            </w:pPr>
            <w:r w:rsidRPr="00DC4782">
              <w:rPr>
                <w:sz w:val="22"/>
              </w:rPr>
              <w:t>..</w:t>
            </w:r>
          </w:p>
        </w:tc>
        <w:tc>
          <w:tcPr>
            <w:tcW w:w="1560" w:type="dxa"/>
            <w:tcBorders>
              <w:top w:val="single" w:sz="4" w:space="0" w:color="000000" w:themeColor="text1"/>
              <w:left w:val="single" w:sz="4" w:space="0" w:color="000000" w:themeColor="text1"/>
              <w:bottom w:val="nil"/>
              <w:right w:val="single" w:sz="4" w:space="0" w:color="000000" w:themeColor="text1"/>
            </w:tcBorders>
            <w:vAlign w:val="bottom"/>
          </w:tcPr>
          <w:p w14:paraId="4BE3ADB4" w14:textId="77777777" w:rsidR="000D23EC" w:rsidRPr="00DC4782" w:rsidRDefault="000D23EC" w:rsidP="00CF0A4C">
            <w:pPr>
              <w:pStyle w:val="TableTextRight"/>
              <w:rPr>
                <w:sz w:val="22"/>
              </w:rPr>
            </w:pPr>
            <w:r w:rsidRPr="00DC4782">
              <w:rPr>
                <w:sz w:val="22"/>
              </w:rPr>
              <w:t>..</w:t>
            </w:r>
          </w:p>
        </w:tc>
      </w:tr>
      <w:tr w:rsidR="000D23EC" w:rsidRPr="00414E57" w14:paraId="3ACD448C" w14:textId="77777777" w:rsidTr="00792F33">
        <w:tc>
          <w:tcPr>
            <w:tcW w:w="6663" w:type="dxa"/>
            <w:tcBorders>
              <w:top w:val="nil"/>
              <w:left w:val="single" w:sz="4" w:space="0" w:color="000000" w:themeColor="text1"/>
              <w:bottom w:val="single" w:sz="4" w:space="0" w:color="000000" w:themeColor="text1"/>
              <w:right w:val="single" w:sz="4" w:space="0" w:color="000000" w:themeColor="text1"/>
            </w:tcBorders>
            <w:vAlign w:val="bottom"/>
          </w:tcPr>
          <w:p w14:paraId="22411AC3" w14:textId="57764027" w:rsidR="000D23EC" w:rsidRPr="00DC4782" w:rsidRDefault="000D23EC" w:rsidP="00CF0A4C">
            <w:pPr>
              <w:pStyle w:val="TableText"/>
              <w:rPr>
                <w:sz w:val="22"/>
                <w:szCs w:val="14"/>
              </w:rPr>
            </w:pPr>
            <w:r w:rsidRPr="00DC4782">
              <w:rPr>
                <w:sz w:val="22"/>
                <w:szCs w:val="14"/>
              </w:rPr>
              <w:t xml:space="preserve">There is no </w:t>
            </w:r>
            <w:r w:rsidR="000C39C3" w:rsidRPr="00DC4782">
              <w:rPr>
                <w:sz w:val="22"/>
                <w:szCs w:val="14"/>
              </w:rPr>
              <w:t>2016–17</w:t>
            </w:r>
            <w:r w:rsidRPr="00DC4782">
              <w:rPr>
                <w:sz w:val="22"/>
                <w:szCs w:val="14"/>
              </w:rPr>
              <w:t xml:space="preserve"> Target/Estimate and </w:t>
            </w:r>
            <w:r w:rsidR="000C39C3" w:rsidRPr="00DC4782">
              <w:rPr>
                <w:sz w:val="22"/>
                <w:szCs w:val="14"/>
              </w:rPr>
              <w:t>2016–17</w:t>
            </w:r>
            <w:r w:rsidRPr="00DC4782">
              <w:rPr>
                <w:sz w:val="22"/>
                <w:szCs w:val="14"/>
              </w:rPr>
              <w:t xml:space="preserve"> actual as this is a biennial measure with the next survey to be undertaken in </w:t>
            </w:r>
            <w:r w:rsidR="000C39C3" w:rsidRPr="00DC4782">
              <w:rPr>
                <w:sz w:val="22"/>
                <w:szCs w:val="14"/>
              </w:rPr>
              <w:t>2017–18</w:t>
            </w:r>
            <w:r w:rsidRPr="00DC4782">
              <w:rPr>
                <w:sz w:val="22"/>
                <w:szCs w:val="14"/>
              </w:rPr>
              <w:t xml:space="preserve">. </w:t>
            </w:r>
          </w:p>
        </w:tc>
        <w:tc>
          <w:tcPr>
            <w:tcW w:w="1275" w:type="dxa"/>
            <w:tcBorders>
              <w:top w:val="nil"/>
              <w:left w:val="single" w:sz="4" w:space="0" w:color="000000" w:themeColor="text1"/>
              <w:bottom w:val="single" w:sz="4" w:space="0" w:color="000000" w:themeColor="text1"/>
              <w:right w:val="single" w:sz="4" w:space="0" w:color="000000" w:themeColor="text1"/>
            </w:tcBorders>
            <w:vAlign w:val="bottom"/>
          </w:tcPr>
          <w:p w14:paraId="0FF580B8" w14:textId="77777777" w:rsidR="000D23EC" w:rsidRPr="00DC4782" w:rsidRDefault="000D23EC" w:rsidP="00CF0A4C">
            <w:pPr>
              <w:pStyle w:val="TableTextRight"/>
              <w:rPr>
                <w:sz w:val="22"/>
              </w:rPr>
            </w:pPr>
          </w:p>
        </w:tc>
        <w:tc>
          <w:tcPr>
            <w:tcW w:w="1560" w:type="dxa"/>
            <w:tcBorders>
              <w:top w:val="nil"/>
              <w:left w:val="single" w:sz="4" w:space="0" w:color="000000" w:themeColor="text1"/>
              <w:bottom w:val="single" w:sz="4" w:space="0" w:color="000000" w:themeColor="text1"/>
              <w:right w:val="single" w:sz="4" w:space="0" w:color="000000" w:themeColor="text1"/>
            </w:tcBorders>
            <w:vAlign w:val="bottom"/>
          </w:tcPr>
          <w:p w14:paraId="5857C92A" w14:textId="77777777" w:rsidR="000D23EC" w:rsidRPr="00DC4782" w:rsidRDefault="000D23EC" w:rsidP="00CF0A4C">
            <w:pPr>
              <w:pStyle w:val="TableTextRight"/>
              <w:rPr>
                <w:sz w:val="22"/>
              </w:rPr>
            </w:pPr>
          </w:p>
        </w:tc>
      </w:tr>
      <w:tr w:rsidR="000D23EC" w:rsidRPr="00773A6B" w14:paraId="1FC63FC7" w14:textId="77777777" w:rsidTr="00792F33">
        <w:tc>
          <w:tcPr>
            <w:tcW w:w="6663"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bottom"/>
          </w:tcPr>
          <w:p w14:paraId="6FCB8519" w14:textId="69BD4B41" w:rsidR="000D23EC" w:rsidRPr="00DC4782" w:rsidRDefault="000D23EC" w:rsidP="00CF0A4C">
            <w:pPr>
              <w:pStyle w:val="TableTextItalics"/>
              <w:rPr>
                <w:b/>
                <w:sz w:val="22"/>
              </w:rPr>
            </w:pPr>
            <w:r w:rsidRPr="00DC4782">
              <w:rPr>
                <w:b/>
                <w:sz w:val="22"/>
              </w:rPr>
              <w:t>Efficiency measure</w:t>
            </w:r>
            <w:r w:rsidR="005B2C2C" w:rsidRPr="00DC4782">
              <w:rPr>
                <w:b/>
                <w:sz w:val="22"/>
              </w:rPr>
              <w:t>s</w:t>
            </w:r>
          </w:p>
        </w:tc>
        <w:tc>
          <w:tcPr>
            <w:tcW w:w="1275" w:type="dxa"/>
            <w:tcBorders>
              <w:top w:val="single" w:sz="4" w:space="0" w:color="000000" w:themeColor="text1"/>
              <w:bottom w:val="single" w:sz="4" w:space="0" w:color="000000" w:themeColor="text1"/>
            </w:tcBorders>
            <w:shd w:val="clear" w:color="auto" w:fill="D9D9D9" w:themeFill="background1" w:themeFillShade="D9"/>
            <w:vAlign w:val="bottom"/>
          </w:tcPr>
          <w:p w14:paraId="2FE82DD1" w14:textId="77777777" w:rsidR="000D23EC" w:rsidRPr="00DC4782" w:rsidRDefault="000D23EC" w:rsidP="00CF0A4C">
            <w:pPr>
              <w:pStyle w:val="TableTextRight"/>
              <w:rPr>
                <w:sz w:val="22"/>
              </w:rPr>
            </w:pPr>
          </w:p>
        </w:tc>
        <w:tc>
          <w:tcPr>
            <w:tcW w:w="156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7932752D" w14:textId="77777777" w:rsidR="000D23EC" w:rsidRPr="00DC4782" w:rsidRDefault="000D23EC" w:rsidP="00CF0A4C">
            <w:pPr>
              <w:pStyle w:val="TableTextRight"/>
              <w:rPr>
                <w:sz w:val="22"/>
              </w:rPr>
            </w:pPr>
          </w:p>
        </w:tc>
      </w:tr>
      <w:tr w:rsidR="000D23EC" w:rsidRPr="00414E57" w14:paraId="43DACDFF" w14:textId="77777777" w:rsidTr="00792F33">
        <w:tc>
          <w:tcPr>
            <w:tcW w:w="6663" w:type="dxa"/>
            <w:tcBorders>
              <w:top w:val="single" w:sz="4" w:space="0" w:color="000000" w:themeColor="text1"/>
              <w:left w:val="single" w:sz="4" w:space="0" w:color="000000" w:themeColor="text1"/>
              <w:bottom w:val="nil"/>
              <w:right w:val="single" w:sz="4" w:space="0" w:color="000000" w:themeColor="text1"/>
            </w:tcBorders>
            <w:vAlign w:val="bottom"/>
            <w:hideMark/>
          </w:tcPr>
          <w:p w14:paraId="138975A9" w14:textId="4FB74466" w:rsidR="000D23EC" w:rsidRPr="00DC4782" w:rsidRDefault="000D23EC" w:rsidP="00CF0A4C">
            <w:pPr>
              <w:pStyle w:val="TableText"/>
              <w:rPr>
                <w:sz w:val="22"/>
              </w:rPr>
            </w:pPr>
            <w:r w:rsidRPr="00DC4782">
              <w:rPr>
                <w:sz w:val="22"/>
              </w:rPr>
              <w:t>Current ratio</w:t>
            </w:r>
          </w:p>
        </w:tc>
        <w:tc>
          <w:tcPr>
            <w:tcW w:w="1275" w:type="dxa"/>
            <w:tcBorders>
              <w:top w:val="single" w:sz="4" w:space="0" w:color="000000" w:themeColor="text1"/>
              <w:left w:val="single" w:sz="4" w:space="0" w:color="000000" w:themeColor="text1"/>
              <w:bottom w:val="nil"/>
              <w:right w:val="single" w:sz="4" w:space="0" w:color="000000" w:themeColor="text1"/>
            </w:tcBorders>
            <w:vAlign w:val="bottom"/>
          </w:tcPr>
          <w:p w14:paraId="3A5B65BF" w14:textId="7F541F01" w:rsidR="000D23EC" w:rsidRPr="00DC4782" w:rsidRDefault="000D23EC" w:rsidP="00CF0A4C">
            <w:pPr>
              <w:pStyle w:val="TableTextRight"/>
              <w:rPr>
                <w:sz w:val="22"/>
              </w:rPr>
            </w:pPr>
            <w:r w:rsidRPr="00DC4782">
              <w:rPr>
                <w:sz w:val="22"/>
              </w:rPr>
              <w:t>3.00:1</w:t>
            </w:r>
          </w:p>
        </w:tc>
        <w:tc>
          <w:tcPr>
            <w:tcW w:w="1560" w:type="dxa"/>
            <w:tcBorders>
              <w:top w:val="single" w:sz="4" w:space="0" w:color="000000" w:themeColor="text1"/>
              <w:left w:val="single" w:sz="4" w:space="0" w:color="000000" w:themeColor="text1"/>
              <w:bottom w:val="nil"/>
              <w:right w:val="single" w:sz="4" w:space="0" w:color="000000" w:themeColor="text1"/>
            </w:tcBorders>
            <w:vAlign w:val="bottom"/>
          </w:tcPr>
          <w:p w14:paraId="5F5B1252" w14:textId="59366D16" w:rsidR="000D23EC" w:rsidRPr="00DC4782" w:rsidRDefault="000D23EC" w:rsidP="00CF0A4C">
            <w:pPr>
              <w:pStyle w:val="TableTextRight"/>
              <w:rPr>
                <w:sz w:val="22"/>
              </w:rPr>
            </w:pPr>
            <w:r w:rsidRPr="00DC4782">
              <w:rPr>
                <w:sz w:val="22"/>
              </w:rPr>
              <w:t>1.96:1</w:t>
            </w:r>
          </w:p>
        </w:tc>
      </w:tr>
      <w:tr w:rsidR="000D23EC" w:rsidRPr="00414E57" w14:paraId="574FD6A3" w14:textId="77777777" w:rsidTr="00792F33">
        <w:trPr>
          <w:trHeight w:val="80"/>
        </w:trPr>
        <w:tc>
          <w:tcPr>
            <w:tcW w:w="6663" w:type="dxa"/>
            <w:tcBorders>
              <w:top w:val="nil"/>
              <w:left w:val="single" w:sz="4" w:space="0" w:color="000000" w:themeColor="text1"/>
              <w:bottom w:val="single" w:sz="4" w:space="0" w:color="000000" w:themeColor="text1"/>
              <w:right w:val="single" w:sz="4" w:space="0" w:color="000000" w:themeColor="text1"/>
            </w:tcBorders>
          </w:tcPr>
          <w:p w14:paraId="3C1D934B" w14:textId="732D87EF" w:rsidR="000D23EC" w:rsidRPr="00DC4782" w:rsidRDefault="000D23EC" w:rsidP="00CF0A4C">
            <w:pPr>
              <w:pStyle w:val="TableText"/>
              <w:rPr>
                <w:sz w:val="22"/>
                <w:szCs w:val="14"/>
              </w:rPr>
            </w:pPr>
            <w:r w:rsidRPr="00DC4782">
              <w:rPr>
                <w:sz w:val="22"/>
                <w:szCs w:val="14"/>
              </w:rPr>
              <w:t xml:space="preserve">Variance between </w:t>
            </w:r>
            <w:r w:rsidR="000C39C3" w:rsidRPr="00DC4782">
              <w:rPr>
                <w:sz w:val="22"/>
                <w:szCs w:val="14"/>
              </w:rPr>
              <w:t>2016–17</w:t>
            </w:r>
            <w:r w:rsidRPr="00DC4782">
              <w:rPr>
                <w:sz w:val="22"/>
                <w:szCs w:val="14"/>
              </w:rPr>
              <w:t xml:space="preserve"> Target/Estimate and </w:t>
            </w:r>
            <w:r w:rsidR="000C39C3" w:rsidRPr="00DC4782">
              <w:rPr>
                <w:sz w:val="22"/>
                <w:szCs w:val="14"/>
              </w:rPr>
              <w:t>2016–17</w:t>
            </w:r>
            <w:r w:rsidRPr="00DC4782">
              <w:rPr>
                <w:sz w:val="22"/>
                <w:szCs w:val="14"/>
              </w:rPr>
              <w:t xml:space="preserve"> Actual is mainly due to an increase in the dividend provision from a higher operating surplus and an increase in payables as a result of the timing of vehicle purchases.</w:t>
            </w:r>
          </w:p>
        </w:tc>
        <w:tc>
          <w:tcPr>
            <w:tcW w:w="1275" w:type="dxa"/>
            <w:tcBorders>
              <w:top w:val="nil"/>
              <w:left w:val="single" w:sz="4" w:space="0" w:color="000000" w:themeColor="text1"/>
              <w:bottom w:val="single" w:sz="4" w:space="0" w:color="000000" w:themeColor="text1"/>
              <w:right w:val="single" w:sz="4" w:space="0" w:color="000000" w:themeColor="text1"/>
            </w:tcBorders>
            <w:vAlign w:val="bottom"/>
          </w:tcPr>
          <w:p w14:paraId="3992BF57" w14:textId="77777777" w:rsidR="000D23EC" w:rsidRPr="00DC4782" w:rsidRDefault="000D23EC" w:rsidP="00CF0A4C">
            <w:pPr>
              <w:pStyle w:val="TableTextRight"/>
              <w:rPr>
                <w:sz w:val="22"/>
              </w:rPr>
            </w:pPr>
          </w:p>
        </w:tc>
        <w:tc>
          <w:tcPr>
            <w:tcW w:w="1560" w:type="dxa"/>
            <w:tcBorders>
              <w:top w:val="nil"/>
              <w:left w:val="single" w:sz="4" w:space="0" w:color="000000" w:themeColor="text1"/>
              <w:bottom w:val="single" w:sz="4" w:space="0" w:color="000000" w:themeColor="text1"/>
              <w:right w:val="single" w:sz="4" w:space="0" w:color="000000" w:themeColor="text1"/>
            </w:tcBorders>
            <w:vAlign w:val="bottom"/>
          </w:tcPr>
          <w:p w14:paraId="4DC3458B" w14:textId="1EAC7816" w:rsidR="000D23EC" w:rsidRPr="00DC4782" w:rsidRDefault="000D23EC" w:rsidP="00CF0A4C">
            <w:pPr>
              <w:pStyle w:val="TableTextRight"/>
              <w:rPr>
                <w:sz w:val="22"/>
              </w:rPr>
            </w:pPr>
          </w:p>
        </w:tc>
      </w:tr>
      <w:tr w:rsidR="000D23EC" w:rsidRPr="00414E57" w14:paraId="19628787" w14:textId="77777777" w:rsidTr="00792F33">
        <w:trPr>
          <w:trHeight w:val="80"/>
        </w:trPr>
        <w:tc>
          <w:tcPr>
            <w:tcW w:w="6663" w:type="dxa"/>
            <w:tcBorders>
              <w:top w:val="single" w:sz="4" w:space="0" w:color="000000" w:themeColor="text1"/>
              <w:left w:val="single" w:sz="4" w:space="0" w:color="000000" w:themeColor="text1"/>
              <w:bottom w:val="nil"/>
              <w:right w:val="single" w:sz="4" w:space="0" w:color="000000" w:themeColor="text1"/>
            </w:tcBorders>
            <w:hideMark/>
          </w:tcPr>
          <w:p w14:paraId="2CEA0FB2" w14:textId="5356D84D" w:rsidR="000D23EC" w:rsidRPr="00DC4782" w:rsidRDefault="000D23EC" w:rsidP="00CF0A4C">
            <w:pPr>
              <w:pStyle w:val="TableText"/>
              <w:rPr>
                <w:sz w:val="22"/>
              </w:rPr>
            </w:pPr>
            <w:r w:rsidRPr="00DC4782">
              <w:rPr>
                <w:sz w:val="22"/>
              </w:rPr>
              <w:lastRenderedPageBreak/>
              <w:t>Return on net assets</w:t>
            </w:r>
          </w:p>
        </w:tc>
        <w:tc>
          <w:tcPr>
            <w:tcW w:w="1275" w:type="dxa"/>
            <w:tcBorders>
              <w:top w:val="single" w:sz="4" w:space="0" w:color="000000" w:themeColor="text1"/>
              <w:left w:val="single" w:sz="4" w:space="0" w:color="000000" w:themeColor="text1"/>
              <w:bottom w:val="nil"/>
              <w:right w:val="single" w:sz="4" w:space="0" w:color="000000" w:themeColor="text1"/>
            </w:tcBorders>
            <w:vAlign w:val="bottom"/>
          </w:tcPr>
          <w:p w14:paraId="15CE9758" w14:textId="649FAD52" w:rsidR="000D23EC" w:rsidRPr="00DC4782" w:rsidRDefault="000D23EC" w:rsidP="00CF0A4C">
            <w:pPr>
              <w:pStyle w:val="TableTextRight"/>
              <w:rPr>
                <w:sz w:val="22"/>
              </w:rPr>
            </w:pPr>
            <w:r w:rsidRPr="00DC4782">
              <w:rPr>
                <w:sz w:val="22"/>
              </w:rPr>
              <w:t>5.0%</w:t>
            </w:r>
          </w:p>
        </w:tc>
        <w:tc>
          <w:tcPr>
            <w:tcW w:w="1560" w:type="dxa"/>
            <w:tcBorders>
              <w:top w:val="single" w:sz="4" w:space="0" w:color="000000" w:themeColor="text1"/>
              <w:left w:val="single" w:sz="4" w:space="0" w:color="000000" w:themeColor="text1"/>
              <w:bottom w:val="nil"/>
              <w:right w:val="single" w:sz="4" w:space="0" w:color="000000" w:themeColor="text1"/>
            </w:tcBorders>
            <w:vAlign w:val="bottom"/>
          </w:tcPr>
          <w:p w14:paraId="3190C1AB" w14:textId="5CC920BE" w:rsidR="000D23EC" w:rsidRPr="00DC4782" w:rsidRDefault="000D23EC" w:rsidP="00CF0A4C">
            <w:pPr>
              <w:pStyle w:val="TableTextRight"/>
              <w:rPr>
                <w:sz w:val="22"/>
              </w:rPr>
            </w:pPr>
            <w:r w:rsidRPr="00DC4782">
              <w:rPr>
                <w:sz w:val="22"/>
              </w:rPr>
              <w:t>8.3%</w:t>
            </w:r>
          </w:p>
        </w:tc>
      </w:tr>
      <w:tr w:rsidR="000D23EC" w:rsidRPr="00414E57" w14:paraId="01AEF1EA" w14:textId="77777777" w:rsidTr="00792F33">
        <w:trPr>
          <w:trHeight w:val="80"/>
        </w:trPr>
        <w:tc>
          <w:tcPr>
            <w:tcW w:w="6663" w:type="dxa"/>
            <w:tcBorders>
              <w:top w:val="nil"/>
              <w:left w:val="single" w:sz="4" w:space="0" w:color="000000" w:themeColor="text1"/>
              <w:bottom w:val="single" w:sz="4" w:space="0" w:color="000000" w:themeColor="text1"/>
              <w:right w:val="single" w:sz="4" w:space="0" w:color="000000" w:themeColor="text1"/>
            </w:tcBorders>
          </w:tcPr>
          <w:p w14:paraId="73F607AD" w14:textId="7F62087A" w:rsidR="000D23EC" w:rsidRPr="00DC4782" w:rsidRDefault="000D23EC" w:rsidP="00CF0A4C">
            <w:pPr>
              <w:pStyle w:val="TableText"/>
              <w:rPr>
                <w:sz w:val="22"/>
                <w:szCs w:val="14"/>
              </w:rPr>
            </w:pPr>
            <w:r w:rsidRPr="00DC4782">
              <w:rPr>
                <w:sz w:val="22"/>
                <w:szCs w:val="14"/>
              </w:rPr>
              <w:t xml:space="preserve">Variance between the </w:t>
            </w:r>
            <w:r w:rsidR="000C39C3" w:rsidRPr="00DC4782">
              <w:rPr>
                <w:sz w:val="22"/>
                <w:szCs w:val="14"/>
              </w:rPr>
              <w:t>2016–17</w:t>
            </w:r>
            <w:r w:rsidRPr="00DC4782">
              <w:rPr>
                <w:sz w:val="22"/>
                <w:szCs w:val="14"/>
              </w:rPr>
              <w:t xml:space="preserve"> target/estimate and </w:t>
            </w:r>
            <w:r w:rsidR="000C39C3" w:rsidRPr="00DC4782">
              <w:rPr>
                <w:sz w:val="22"/>
                <w:szCs w:val="14"/>
              </w:rPr>
              <w:t>2016–17</w:t>
            </w:r>
            <w:r w:rsidRPr="00DC4782">
              <w:rPr>
                <w:sz w:val="22"/>
                <w:szCs w:val="14"/>
              </w:rPr>
              <w:t xml:space="preserve"> actual is mainly due to a higher operating surplus.</w:t>
            </w:r>
          </w:p>
        </w:tc>
        <w:tc>
          <w:tcPr>
            <w:tcW w:w="1275" w:type="dxa"/>
            <w:tcBorders>
              <w:top w:val="nil"/>
              <w:left w:val="single" w:sz="4" w:space="0" w:color="000000" w:themeColor="text1"/>
              <w:bottom w:val="single" w:sz="4" w:space="0" w:color="000000" w:themeColor="text1"/>
              <w:right w:val="single" w:sz="4" w:space="0" w:color="000000" w:themeColor="text1"/>
            </w:tcBorders>
            <w:vAlign w:val="bottom"/>
          </w:tcPr>
          <w:p w14:paraId="2863D4B6" w14:textId="77777777" w:rsidR="000D23EC" w:rsidRPr="00DC4782" w:rsidRDefault="000D23EC" w:rsidP="00CF0A4C">
            <w:pPr>
              <w:pStyle w:val="TableTextRight"/>
              <w:rPr>
                <w:sz w:val="22"/>
              </w:rPr>
            </w:pPr>
          </w:p>
        </w:tc>
        <w:tc>
          <w:tcPr>
            <w:tcW w:w="1560" w:type="dxa"/>
            <w:tcBorders>
              <w:top w:val="nil"/>
              <w:left w:val="single" w:sz="4" w:space="0" w:color="000000" w:themeColor="text1"/>
              <w:bottom w:val="single" w:sz="4" w:space="0" w:color="000000" w:themeColor="text1"/>
              <w:right w:val="single" w:sz="4" w:space="0" w:color="000000" w:themeColor="text1"/>
            </w:tcBorders>
            <w:vAlign w:val="bottom"/>
          </w:tcPr>
          <w:p w14:paraId="18E41965" w14:textId="0B3931F8" w:rsidR="000D23EC" w:rsidRPr="00DC4782" w:rsidRDefault="000D23EC" w:rsidP="00CF0A4C">
            <w:pPr>
              <w:pStyle w:val="TableTextRight"/>
              <w:rPr>
                <w:sz w:val="22"/>
              </w:rPr>
            </w:pPr>
          </w:p>
        </w:tc>
      </w:tr>
      <w:tr w:rsidR="000D23EC" w:rsidRPr="00414E57" w14:paraId="559DC1D3" w14:textId="77777777" w:rsidTr="00792F33">
        <w:trPr>
          <w:trHeight w:val="80"/>
        </w:trPr>
        <w:tc>
          <w:tcPr>
            <w:tcW w:w="6663" w:type="dxa"/>
            <w:tcBorders>
              <w:top w:val="single" w:sz="4" w:space="0" w:color="000000" w:themeColor="text1"/>
              <w:left w:val="single" w:sz="4" w:space="0" w:color="000000" w:themeColor="text1"/>
              <w:bottom w:val="nil"/>
              <w:right w:val="single" w:sz="4" w:space="0" w:color="000000" w:themeColor="text1"/>
            </w:tcBorders>
          </w:tcPr>
          <w:p w14:paraId="2F8356A8" w14:textId="37A6F837" w:rsidR="000D23EC" w:rsidRPr="00DC4782" w:rsidRDefault="000D23EC" w:rsidP="00CF0A4C">
            <w:pPr>
              <w:pStyle w:val="TableText"/>
              <w:rPr>
                <w:sz w:val="22"/>
              </w:rPr>
            </w:pPr>
            <w:r w:rsidRPr="00DC4782">
              <w:rPr>
                <w:sz w:val="22"/>
              </w:rPr>
              <w:t>Gearing level</w:t>
            </w:r>
          </w:p>
        </w:tc>
        <w:tc>
          <w:tcPr>
            <w:tcW w:w="1275" w:type="dxa"/>
            <w:tcBorders>
              <w:top w:val="single" w:sz="4" w:space="0" w:color="000000" w:themeColor="text1"/>
              <w:left w:val="single" w:sz="4" w:space="0" w:color="000000" w:themeColor="text1"/>
              <w:bottom w:val="nil"/>
              <w:right w:val="single" w:sz="4" w:space="0" w:color="000000" w:themeColor="text1"/>
            </w:tcBorders>
            <w:vAlign w:val="bottom"/>
          </w:tcPr>
          <w:p w14:paraId="0796B4B2" w14:textId="25D9F47B" w:rsidR="000D23EC" w:rsidRPr="00DC4782" w:rsidRDefault="000D23EC" w:rsidP="00CF0A4C">
            <w:pPr>
              <w:pStyle w:val="TableTextRight"/>
              <w:rPr>
                <w:sz w:val="22"/>
              </w:rPr>
            </w:pPr>
            <w:r w:rsidRPr="00DC4782">
              <w:rPr>
                <w:sz w:val="22"/>
              </w:rPr>
              <w:t>64%</w:t>
            </w:r>
          </w:p>
        </w:tc>
        <w:tc>
          <w:tcPr>
            <w:tcW w:w="1560" w:type="dxa"/>
            <w:tcBorders>
              <w:top w:val="single" w:sz="4" w:space="0" w:color="000000" w:themeColor="text1"/>
              <w:left w:val="single" w:sz="4" w:space="0" w:color="000000" w:themeColor="text1"/>
              <w:bottom w:val="nil"/>
              <w:right w:val="single" w:sz="4" w:space="0" w:color="000000" w:themeColor="text1"/>
            </w:tcBorders>
            <w:vAlign w:val="bottom"/>
          </w:tcPr>
          <w:p w14:paraId="3B9EC94F" w14:textId="3584D4FF" w:rsidR="000D23EC" w:rsidRPr="00DC4782" w:rsidRDefault="000D23EC" w:rsidP="00CF0A4C">
            <w:pPr>
              <w:pStyle w:val="TableTextRight"/>
              <w:rPr>
                <w:sz w:val="22"/>
              </w:rPr>
            </w:pPr>
            <w:r w:rsidRPr="00DC4782">
              <w:rPr>
                <w:sz w:val="22"/>
              </w:rPr>
              <w:t>63%</w:t>
            </w:r>
          </w:p>
        </w:tc>
      </w:tr>
      <w:tr w:rsidR="000D23EC" w:rsidRPr="00414E57" w14:paraId="40FD3A7E" w14:textId="77777777" w:rsidTr="00792F33">
        <w:trPr>
          <w:trHeight w:val="80"/>
        </w:trPr>
        <w:tc>
          <w:tcPr>
            <w:tcW w:w="6663" w:type="dxa"/>
            <w:tcBorders>
              <w:top w:val="nil"/>
              <w:left w:val="single" w:sz="4" w:space="0" w:color="000000" w:themeColor="text1"/>
              <w:bottom w:val="single" w:sz="4" w:space="0" w:color="000000" w:themeColor="text1"/>
              <w:right w:val="single" w:sz="4" w:space="0" w:color="000000" w:themeColor="text1"/>
            </w:tcBorders>
          </w:tcPr>
          <w:p w14:paraId="2021AB99" w14:textId="7422CC77" w:rsidR="000D23EC" w:rsidRPr="00DC4782" w:rsidRDefault="000D23EC" w:rsidP="000942B7">
            <w:pPr>
              <w:pStyle w:val="NoteIndent"/>
              <w:ind w:left="0" w:firstLine="0"/>
              <w:rPr>
                <w:sz w:val="22"/>
                <w:szCs w:val="14"/>
              </w:rPr>
            </w:pPr>
            <w:r w:rsidRPr="00DC4782">
              <w:rPr>
                <w:sz w:val="22"/>
                <w:szCs w:val="14"/>
              </w:rPr>
              <w:t xml:space="preserve">Variance between </w:t>
            </w:r>
            <w:r w:rsidR="000C39C3" w:rsidRPr="00DC4782">
              <w:rPr>
                <w:sz w:val="22"/>
                <w:szCs w:val="14"/>
              </w:rPr>
              <w:t>2016–17</w:t>
            </w:r>
            <w:r w:rsidRPr="00DC4782">
              <w:rPr>
                <w:sz w:val="22"/>
                <w:szCs w:val="14"/>
              </w:rPr>
              <w:t xml:space="preserve"> Target/Estimate and </w:t>
            </w:r>
            <w:r w:rsidR="000C39C3" w:rsidRPr="00DC4782">
              <w:rPr>
                <w:sz w:val="22"/>
                <w:szCs w:val="14"/>
              </w:rPr>
              <w:t>2016–17</w:t>
            </w:r>
            <w:r w:rsidRPr="00DC4782">
              <w:rPr>
                <w:sz w:val="22"/>
                <w:szCs w:val="14"/>
              </w:rPr>
              <w:t xml:space="preserve"> Actual is mainly due to a higher operating surplus, partially offset by additional borrowings to finance vehicle purchases.</w:t>
            </w:r>
          </w:p>
        </w:tc>
        <w:tc>
          <w:tcPr>
            <w:tcW w:w="1275" w:type="dxa"/>
            <w:tcBorders>
              <w:top w:val="nil"/>
              <w:left w:val="single" w:sz="4" w:space="0" w:color="000000" w:themeColor="text1"/>
              <w:bottom w:val="single" w:sz="4" w:space="0" w:color="000000" w:themeColor="text1"/>
              <w:right w:val="single" w:sz="4" w:space="0" w:color="000000" w:themeColor="text1"/>
            </w:tcBorders>
            <w:vAlign w:val="bottom"/>
          </w:tcPr>
          <w:p w14:paraId="6DB6F88C" w14:textId="77777777" w:rsidR="000D23EC" w:rsidRPr="00DC4782" w:rsidRDefault="000D23EC" w:rsidP="00CF0A4C">
            <w:pPr>
              <w:pStyle w:val="TableTextRight"/>
              <w:rPr>
                <w:sz w:val="22"/>
              </w:rPr>
            </w:pPr>
          </w:p>
        </w:tc>
        <w:tc>
          <w:tcPr>
            <w:tcW w:w="1560" w:type="dxa"/>
            <w:tcBorders>
              <w:top w:val="nil"/>
              <w:left w:val="single" w:sz="4" w:space="0" w:color="000000" w:themeColor="text1"/>
              <w:bottom w:val="single" w:sz="4" w:space="0" w:color="000000" w:themeColor="text1"/>
              <w:right w:val="single" w:sz="4" w:space="0" w:color="000000" w:themeColor="text1"/>
            </w:tcBorders>
            <w:vAlign w:val="bottom"/>
          </w:tcPr>
          <w:p w14:paraId="1F6A02E1" w14:textId="59EC7D4D" w:rsidR="000D23EC" w:rsidRPr="00DC4782" w:rsidRDefault="000D23EC" w:rsidP="00CF0A4C">
            <w:pPr>
              <w:pStyle w:val="TableTextRight"/>
              <w:rPr>
                <w:sz w:val="22"/>
              </w:rPr>
            </w:pPr>
          </w:p>
        </w:tc>
      </w:tr>
      <w:tr w:rsidR="000D23EC" w:rsidRPr="00414E57" w14:paraId="02E0065B" w14:textId="77777777" w:rsidTr="00792F33">
        <w:trPr>
          <w:trHeight w:val="80"/>
        </w:trPr>
        <w:tc>
          <w:tcPr>
            <w:tcW w:w="6663" w:type="dxa"/>
            <w:tcBorders>
              <w:top w:val="single" w:sz="4" w:space="0" w:color="000000" w:themeColor="text1"/>
              <w:left w:val="single" w:sz="4" w:space="0" w:color="000000" w:themeColor="text1"/>
              <w:bottom w:val="single" w:sz="4" w:space="0" w:color="000000" w:themeColor="text1"/>
            </w:tcBorders>
          </w:tcPr>
          <w:p w14:paraId="18FC022A" w14:textId="3DBB6A5E" w:rsidR="000D23EC" w:rsidRPr="00DC4782" w:rsidRDefault="000D23EC" w:rsidP="00CF0A4C">
            <w:pPr>
              <w:pStyle w:val="TableText"/>
              <w:rPr>
                <w:sz w:val="22"/>
              </w:rPr>
            </w:pPr>
            <w:r w:rsidRPr="00DC4782">
              <w:rPr>
                <w:sz w:val="22"/>
              </w:rPr>
              <w:t>Percentage of vehicle fleet utilisation compared to agreed lease parameters</w:t>
            </w:r>
          </w:p>
          <w:p w14:paraId="4DB9DBEC" w14:textId="1B4743D6" w:rsidR="000D23EC" w:rsidRPr="00DC4782" w:rsidRDefault="000D23EC" w:rsidP="00CF0A4C">
            <w:pPr>
              <w:pStyle w:val="TableText"/>
              <w:rPr>
                <w:sz w:val="22"/>
                <w:szCs w:val="14"/>
              </w:rPr>
            </w:pPr>
            <w:r w:rsidRPr="00DC4782">
              <w:rPr>
                <w:sz w:val="22"/>
                <w:szCs w:val="14"/>
              </w:rPr>
              <w:t xml:space="preserve">Variance between the </w:t>
            </w:r>
            <w:r w:rsidR="000C39C3" w:rsidRPr="00DC4782">
              <w:rPr>
                <w:sz w:val="22"/>
                <w:szCs w:val="14"/>
              </w:rPr>
              <w:t>2016–17</w:t>
            </w:r>
            <w:r w:rsidRPr="00DC4782">
              <w:rPr>
                <w:sz w:val="22"/>
                <w:szCs w:val="14"/>
              </w:rPr>
              <w:t xml:space="preserve"> target/estimate and </w:t>
            </w:r>
            <w:r w:rsidR="000C39C3" w:rsidRPr="00DC4782">
              <w:rPr>
                <w:sz w:val="22"/>
                <w:szCs w:val="14"/>
              </w:rPr>
              <w:t>2016–17</w:t>
            </w:r>
            <w:r w:rsidRPr="00DC4782">
              <w:rPr>
                <w:sz w:val="22"/>
                <w:szCs w:val="14"/>
              </w:rPr>
              <w:t xml:space="preserve"> actual is mainly due to move to 48 month/80,000 km leases because of the government decision in 2012</w:t>
            </w:r>
            <w:r w:rsidR="000C39C3" w:rsidRPr="00DC4782">
              <w:rPr>
                <w:sz w:val="22"/>
                <w:szCs w:val="14"/>
              </w:rPr>
              <w:t>–</w:t>
            </w:r>
            <w:r w:rsidRPr="00DC4782">
              <w:rPr>
                <w:sz w:val="22"/>
                <w:szCs w:val="14"/>
              </w:rPr>
              <w:t>13. The decision effectively grew the lease parameter mileage while actual distance travelled remained constant. Corrective measures are in place; however, a considerable number of existing leases will need to be realigned to bring utilisation to target.</w:t>
            </w:r>
          </w:p>
        </w:tc>
        <w:tc>
          <w:tcPr>
            <w:tcW w:w="1275" w:type="dxa"/>
            <w:tcBorders>
              <w:top w:val="single" w:sz="4" w:space="0" w:color="000000" w:themeColor="text1"/>
              <w:bottom w:val="single" w:sz="4" w:space="0" w:color="000000" w:themeColor="text1"/>
            </w:tcBorders>
            <w:vAlign w:val="bottom"/>
          </w:tcPr>
          <w:p w14:paraId="492FE743" w14:textId="69662A8C" w:rsidR="000D23EC" w:rsidRPr="00DC4782" w:rsidRDefault="000D23EC" w:rsidP="00CF0A4C">
            <w:pPr>
              <w:pStyle w:val="TableTextRight"/>
              <w:rPr>
                <w:sz w:val="22"/>
              </w:rPr>
            </w:pPr>
            <w:r w:rsidRPr="00DC4782">
              <w:rPr>
                <w:sz w:val="22"/>
              </w:rPr>
              <w:t>90%</w:t>
            </w:r>
          </w:p>
        </w:tc>
        <w:tc>
          <w:tcPr>
            <w:tcW w:w="1560" w:type="dxa"/>
            <w:tcBorders>
              <w:top w:val="single" w:sz="4" w:space="0" w:color="000000" w:themeColor="text1"/>
              <w:bottom w:val="single" w:sz="4" w:space="0" w:color="000000" w:themeColor="text1"/>
              <w:right w:val="single" w:sz="4" w:space="0" w:color="000000" w:themeColor="text1"/>
            </w:tcBorders>
            <w:vAlign w:val="bottom"/>
          </w:tcPr>
          <w:p w14:paraId="4DC7BE65" w14:textId="0F7B283C" w:rsidR="000D23EC" w:rsidRPr="00DC4782" w:rsidRDefault="000D23EC" w:rsidP="00CF0A4C">
            <w:pPr>
              <w:pStyle w:val="TableTextRight"/>
              <w:rPr>
                <w:sz w:val="22"/>
              </w:rPr>
            </w:pPr>
            <w:r w:rsidRPr="00DC4782">
              <w:rPr>
                <w:sz w:val="22"/>
              </w:rPr>
              <w:t>87.7%</w:t>
            </w:r>
          </w:p>
        </w:tc>
      </w:tr>
    </w:tbl>
    <w:p w14:paraId="44B877FF" w14:textId="07C89C7B" w:rsidR="00FC3435" w:rsidRDefault="00FC3435" w:rsidP="00CF0A4C">
      <w:r>
        <w:br w:type="page"/>
      </w:r>
    </w:p>
    <w:p w14:paraId="00A3FD0D" w14:textId="77777777" w:rsidR="006D6874" w:rsidRDefault="006D6874" w:rsidP="002F0A6A">
      <w:pPr>
        <w:pStyle w:val="Title"/>
        <w:pBdr>
          <w:top w:val="none" w:sz="0" w:space="0" w:color="auto"/>
          <w:bottom w:val="none" w:sz="0" w:space="0" w:color="auto"/>
        </w:pBdr>
      </w:pPr>
      <w:r>
        <w:lastRenderedPageBreak/>
        <w:t>Part 4</w:t>
      </w:r>
    </w:p>
    <w:p w14:paraId="484A1333" w14:textId="3C3C469B" w:rsidR="00462910" w:rsidRPr="00FC4067" w:rsidRDefault="00C82455" w:rsidP="002F0A6A">
      <w:pPr>
        <w:pStyle w:val="Heading1"/>
        <w:sectPr w:rsidR="00462910" w:rsidRPr="00FC4067" w:rsidSect="00F91DF9">
          <w:footerReference w:type="even" r:id="rId20"/>
          <w:footerReference w:type="default" r:id="rId21"/>
          <w:type w:val="continuous"/>
          <w:pgSz w:w="11910" w:h="16840"/>
          <w:pgMar w:top="1440" w:right="1440" w:bottom="1440" w:left="1440" w:header="241" w:footer="478" w:gutter="0"/>
          <w:cols w:space="454"/>
        </w:sectPr>
      </w:pPr>
      <w:bookmarkStart w:id="36" w:name="_Toc494984630"/>
      <w:r>
        <w:t xml:space="preserve">Our </w:t>
      </w:r>
      <w:r w:rsidR="00E7069B">
        <w:t>Governance</w:t>
      </w:r>
      <w:bookmarkEnd w:id="36"/>
    </w:p>
    <w:p w14:paraId="00200C54" w14:textId="6F5F2AE6" w:rsidR="009E1856" w:rsidRPr="00FC4067" w:rsidRDefault="009E1856" w:rsidP="00FC4067">
      <w:pPr>
        <w:shd w:val="clear" w:color="auto" w:fill="FFFFFF" w:themeFill="background1"/>
      </w:pPr>
      <w:r w:rsidRPr="00FC4067">
        <w:t xml:space="preserve">Our governance </w:t>
      </w:r>
      <w:r w:rsidR="005858E8" w:rsidRPr="00FC4067">
        <w:t>arrangements ensure we meet our strategic ob</w:t>
      </w:r>
      <w:r w:rsidR="008D404F" w:rsidRPr="00FC4067">
        <w:t>j</w:t>
      </w:r>
      <w:r w:rsidR="005858E8" w:rsidRPr="00FC4067">
        <w:t>ectives and that our resources are allocated appropriately to maximise the cost</w:t>
      </w:r>
      <w:r w:rsidR="0004162B" w:rsidRPr="00FC4067">
        <w:t>-</w:t>
      </w:r>
      <w:r w:rsidR="005858E8" w:rsidRPr="00FC4067">
        <w:t xml:space="preserve">effective delivery of services. </w:t>
      </w:r>
    </w:p>
    <w:p w14:paraId="69213FBF" w14:textId="53249F72" w:rsidR="009E1856" w:rsidRPr="00FC4067" w:rsidRDefault="005858E8" w:rsidP="00FC4067">
      <w:pPr>
        <w:shd w:val="clear" w:color="auto" w:fill="FFFFFF" w:themeFill="background1"/>
      </w:pPr>
      <w:r w:rsidRPr="00FC4067">
        <w:t xml:space="preserve">Our governance framework assists the Director-General as the accountable officer to meet the requirements of the </w:t>
      </w:r>
      <w:r w:rsidRPr="00FC4067">
        <w:rPr>
          <w:i/>
          <w:iCs/>
        </w:rPr>
        <w:t>Financial Accountability Act 2009</w:t>
      </w:r>
      <w:r w:rsidRPr="00FC4067">
        <w:t xml:space="preserve">, the </w:t>
      </w:r>
      <w:r w:rsidRPr="00FC4067">
        <w:rPr>
          <w:i/>
          <w:iCs/>
        </w:rPr>
        <w:t>Financial and Performance Management Standard 2009</w:t>
      </w:r>
      <w:r w:rsidRPr="00FC4067">
        <w:t xml:space="preserve">, the </w:t>
      </w:r>
      <w:r w:rsidRPr="00FC4067">
        <w:rPr>
          <w:i/>
          <w:iCs/>
        </w:rPr>
        <w:t>Public Sector Ethics Act 1992</w:t>
      </w:r>
      <w:r w:rsidR="0004162B" w:rsidRPr="00FC4067">
        <w:t xml:space="preserve"> and other legislative</w:t>
      </w:r>
      <w:r w:rsidRPr="00FC4067">
        <w:t xml:space="preserve"> and accountability requirements. </w:t>
      </w:r>
      <w:r w:rsidR="0004162B" w:rsidRPr="00FC4067">
        <w:t>Our f</w:t>
      </w:r>
      <w:r w:rsidRPr="00FC4067">
        <w:t>ramework</w:t>
      </w:r>
      <w:r w:rsidR="0004162B" w:rsidRPr="00FC4067">
        <w:t xml:space="preserve"> </w:t>
      </w:r>
      <w:r w:rsidR="003653FF" w:rsidRPr="00FC4067">
        <w:t>reflects</w:t>
      </w:r>
      <w:r w:rsidR="009E1856" w:rsidRPr="00FC4067">
        <w:t xml:space="preserve"> our commitment to high standards of professional conduct, and honest and</w:t>
      </w:r>
      <w:r w:rsidR="00424994" w:rsidRPr="00FC4067">
        <w:t xml:space="preserve"> </w:t>
      </w:r>
      <w:r w:rsidR="009E1856" w:rsidRPr="00FC4067">
        <w:t>ethical business practices</w:t>
      </w:r>
      <w:r w:rsidR="0004162B" w:rsidRPr="00FC4067">
        <w:t>, effectively supports our department’s strategic management and monitors the achievement of our departmental business objectives. Our framework</w:t>
      </w:r>
      <w:r w:rsidRPr="00FC4067">
        <w:t xml:space="preserve"> is based on the following principles:</w:t>
      </w:r>
    </w:p>
    <w:p w14:paraId="3B978284" w14:textId="77777777" w:rsidR="009E1856" w:rsidRPr="00FC4067" w:rsidRDefault="009E1856" w:rsidP="00096C6C">
      <w:pPr>
        <w:pStyle w:val="Bullets"/>
      </w:pPr>
      <w:r w:rsidRPr="00FC4067">
        <w:t>strong leadership</w:t>
      </w:r>
    </w:p>
    <w:p w14:paraId="3E76CCA8" w14:textId="77777777" w:rsidR="009E1856" w:rsidRPr="00FC4067" w:rsidRDefault="009E1856" w:rsidP="00096C6C">
      <w:pPr>
        <w:pStyle w:val="Bullets"/>
      </w:pPr>
      <w:r w:rsidRPr="00FC4067">
        <w:t>responsible, informed and ethical decision making</w:t>
      </w:r>
    </w:p>
    <w:p w14:paraId="6E96268A" w14:textId="77777777" w:rsidR="009E1856" w:rsidRPr="00FC4067" w:rsidRDefault="009E1856" w:rsidP="00096C6C">
      <w:pPr>
        <w:pStyle w:val="Bullets"/>
      </w:pPr>
      <w:r w:rsidRPr="00FC4067">
        <w:t>transparency, accountability and probity</w:t>
      </w:r>
    </w:p>
    <w:p w14:paraId="1151705A" w14:textId="77777777" w:rsidR="009E1856" w:rsidRPr="00FC4067" w:rsidRDefault="009E1856" w:rsidP="00096C6C">
      <w:pPr>
        <w:pStyle w:val="Bullets"/>
      </w:pPr>
      <w:r w:rsidRPr="00FC4067">
        <w:t>compliance with legislative and prescribed requirements</w:t>
      </w:r>
    </w:p>
    <w:p w14:paraId="7C4FD5AE" w14:textId="77777777" w:rsidR="009E1856" w:rsidRPr="00FC4067" w:rsidRDefault="009E1856" w:rsidP="00D675BC">
      <w:pPr>
        <w:pStyle w:val="Bullets"/>
      </w:pPr>
      <w:r w:rsidRPr="00FC4067">
        <w:t>embracing change and changing technology</w:t>
      </w:r>
    </w:p>
    <w:p w14:paraId="1DC55BC4" w14:textId="77777777" w:rsidR="009E1856" w:rsidRPr="00FC4067" w:rsidRDefault="009E1856" w:rsidP="00E05961">
      <w:pPr>
        <w:pStyle w:val="Bullets"/>
      </w:pPr>
      <w:r w:rsidRPr="00FC4067">
        <w:t>performance improvement.</w:t>
      </w:r>
    </w:p>
    <w:p w14:paraId="12E3D539" w14:textId="77777777" w:rsidR="009E1856" w:rsidRPr="00FC4067" w:rsidRDefault="009E1856" w:rsidP="00FC4067">
      <w:pPr>
        <w:shd w:val="clear" w:color="auto" w:fill="FFFFFF" w:themeFill="background1"/>
        <w:spacing w:before="160"/>
      </w:pPr>
      <w:r w:rsidRPr="00FC4067">
        <w:t xml:space="preserve">The core </w:t>
      </w:r>
      <w:r w:rsidR="005858E8" w:rsidRPr="00FC4067">
        <w:t>elements of our governance arrangements</w:t>
      </w:r>
      <w:r w:rsidR="005B787E" w:rsidRPr="00FC4067">
        <w:t>, which are reviewed regularly,</w:t>
      </w:r>
      <w:r w:rsidR="005858E8" w:rsidRPr="00FC4067">
        <w:t xml:space="preserve"> include:</w:t>
      </w:r>
    </w:p>
    <w:p w14:paraId="1482D73F" w14:textId="77777777" w:rsidR="009E1856" w:rsidRPr="00FC4067" w:rsidRDefault="009E1856" w:rsidP="00096C6C">
      <w:pPr>
        <w:pStyle w:val="Bullets"/>
      </w:pPr>
      <w:r w:rsidRPr="00FC4067">
        <w:t>effective organisational structures, delegations and accountability mechanisms</w:t>
      </w:r>
    </w:p>
    <w:p w14:paraId="7A8845A7" w14:textId="77777777" w:rsidR="009E1856" w:rsidRPr="00FC4067" w:rsidRDefault="009E1856" w:rsidP="00096C6C">
      <w:pPr>
        <w:pStyle w:val="Bullets"/>
      </w:pPr>
      <w:r w:rsidRPr="00FC4067">
        <w:t>a comprehensive governance committee structure</w:t>
      </w:r>
    </w:p>
    <w:p w14:paraId="58E51998" w14:textId="77777777" w:rsidR="009E1856" w:rsidRPr="00FC4067" w:rsidRDefault="009E1856" w:rsidP="00096C6C">
      <w:pPr>
        <w:pStyle w:val="Bullets"/>
      </w:pPr>
      <w:r w:rsidRPr="00FC4067">
        <w:t>strategic planning, risk management, performance monitoring and reporting</w:t>
      </w:r>
    </w:p>
    <w:p w14:paraId="6813B4DB" w14:textId="77777777" w:rsidR="009E1856" w:rsidRPr="00FC4067" w:rsidRDefault="009E1856" w:rsidP="00096C6C">
      <w:pPr>
        <w:pStyle w:val="Bullets"/>
      </w:pPr>
      <w:r w:rsidRPr="00FC4067">
        <w:t>corporate policies, procedures and guidelines</w:t>
      </w:r>
    </w:p>
    <w:p w14:paraId="570E3130" w14:textId="01A65F63" w:rsidR="009E1856" w:rsidRDefault="009E1856" w:rsidP="00D675BC">
      <w:pPr>
        <w:pStyle w:val="Bullets"/>
      </w:pPr>
      <w:r w:rsidRPr="00FC4067">
        <w:t>compliance and systems assurance reviews.</w:t>
      </w:r>
    </w:p>
    <w:p w14:paraId="66A6058C" w14:textId="59FBF303" w:rsidR="00DC4782" w:rsidRPr="00FC4067" w:rsidRDefault="00DC4782" w:rsidP="00DC4782">
      <w:pPr>
        <w:pStyle w:val="Bullets"/>
        <w:numPr>
          <w:ilvl w:val="0"/>
          <w:numId w:val="0"/>
        </w:numPr>
        <w:ind w:left="350"/>
      </w:pPr>
    </w:p>
    <w:p w14:paraId="10FF1774" w14:textId="77777777" w:rsidR="00DC4782" w:rsidRPr="00610737" w:rsidRDefault="00DC4782" w:rsidP="00DC4782">
      <w:pPr>
        <w:pStyle w:val="HeadingStyle3"/>
      </w:pPr>
      <w:bookmarkStart w:id="37" w:name="_Hlk489343306"/>
      <w:r w:rsidRPr="00610737">
        <w:t>Working together as One Department</w:t>
      </w:r>
    </w:p>
    <w:p w14:paraId="253385AC" w14:textId="77777777" w:rsidR="00DC4782" w:rsidRDefault="00DC4782" w:rsidP="00DC4782">
      <w:pPr>
        <w:pStyle w:val="Bullets"/>
        <w:numPr>
          <w:ilvl w:val="0"/>
          <w:numId w:val="0"/>
        </w:numPr>
        <w:ind w:left="-10"/>
      </w:pPr>
      <w:r>
        <w:t>One Department is a central pillar of our Strategic Plan 2016–2020. It is about all staff working together across business areas, sharing our knowledge and ideas to collaborate and innovate.</w:t>
      </w:r>
    </w:p>
    <w:p w14:paraId="449BEABB" w14:textId="77777777" w:rsidR="00DC4782" w:rsidRDefault="00DC4782" w:rsidP="00DC4782">
      <w:pPr>
        <w:pStyle w:val="Bullets"/>
        <w:numPr>
          <w:ilvl w:val="0"/>
          <w:numId w:val="0"/>
        </w:numPr>
        <w:ind w:left="-10"/>
      </w:pPr>
      <w:r>
        <w:t>Working as One Department is about har</w:t>
      </w:r>
      <w:r w:rsidRPr="00610737">
        <w:t>nessing all the existing tools and platforms we have in place, being bold, agile and flexible and building our capability for the future.</w:t>
      </w:r>
    </w:p>
    <w:p w14:paraId="2C88DA35" w14:textId="77777777" w:rsidR="00DC4782" w:rsidRDefault="00DC4782" w:rsidP="00DC4782">
      <w:pPr>
        <w:pStyle w:val="Bullets"/>
        <w:numPr>
          <w:ilvl w:val="0"/>
          <w:numId w:val="0"/>
        </w:numPr>
        <w:ind w:left="-10"/>
      </w:pPr>
      <w:r>
        <w:t>Mobility is a big part of One Department, and at HPW it is about getting the best out of people by providing opportunities for staff to work in different areas, develop new skills and bring new perspectives and approaches to the work we do.</w:t>
      </w:r>
    </w:p>
    <w:p w14:paraId="1927E7AB" w14:textId="77777777" w:rsidR="00DC4782" w:rsidRDefault="00DC4782" w:rsidP="00DC4782">
      <w:pPr>
        <w:pStyle w:val="Bullets"/>
        <w:numPr>
          <w:ilvl w:val="0"/>
          <w:numId w:val="0"/>
        </w:numPr>
        <w:ind w:left="-10"/>
      </w:pPr>
      <w:r>
        <w:t>One Department is also about looking for opportunities to collaborate on projects both big and small, through actively seeking advice and input from colleagues within the department as well as staff in other agencies and the private sector.</w:t>
      </w:r>
    </w:p>
    <w:p w14:paraId="2AEF3861" w14:textId="77777777" w:rsidR="00DC4782" w:rsidRPr="00953F5F" w:rsidRDefault="00DC4782" w:rsidP="00DC4782">
      <w:pPr>
        <w:pStyle w:val="Bullets"/>
        <w:numPr>
          <w:ilvl w:val="0"/>
          <w:numId w:val="0"/>
        </w:numPr>
        <w:ind w:left="-10"/>
        <w:rPr>
          <w:b/>
          <w:color w:val="FFFFFF" w:themeColor="background1"/>
          <w:sz w:val="28"/>
          <w:szCs w:val="28"/>
        </w:rPr>
      </w:pPr>
      <w:r>
        <w:t>Our Executive Leadership Team are the department champions for key projects that promote our One Department priorities. These projects focus on improving our visibility and strategic leadership capabilities, fostering department-wide leadership at all levels, enhancing our data analytics capabilities, and promoting innovation.</w:t>
      </w:r>
    </w:p>
    <w:p w14:paraId="1D68EE90" w14:textId="27B2A7B3" w:rsidR="00A652BE" w:rsidRPr="00792F33" w:rsidRDefault="00A652BE">
      <w:pPr>
        <w:spacing w:line="259" w:lineRule="auto"/>
        <w:rPr>
          <w:rFonts w:eastAsiaTheme="majorEastAsia" w:cstheme="majorBidi"/>
          <w:b/>
          <w:smallCaps/>
          <w:color w:val="000000" w:themeColor="text1"/>
          <w:spacing w:val="2"/>
          <w:w w:val="95"/>
          <w:sz w:val="40"/>
          <w:szCs w:val="26"/>
        </w:rPr>
      </w:pPr>
      <w:r>
        <w:rPr>
          <w:spacing w:val="2"/>
          <w:w w:val="95"/>
        </w:rPr>
        <w:br w:type="page"/>
      </w:r>
    </w:p>
    <w:p w14:paraId="381C5664" w14:textId="52B24E0B" w:rsidR="009E1856" w:rsidRPr="002F0A6A" w:rsidRDefault="009E1856" w:rsidP="002F0A6A">
      <w:pPr>
        <w:pStyle w:val="Heading2"/>
      </w:pPr>
      <w:bookmarkStart w:id="38" w:name="_Toc494984631"/>
      <w:r w:rsidRPr="002F0A6A">
        <w:lastRenderedPageBreak/>
        <w:t>Executive Leadership Team</w:t>
      </w:r>
      <w:bookmarkEnd w:id="38"/>
    </w:p>
    <w:bookmarkEnd w:id="37"/>
    <w:p w14:paraId="4DBB2877" w14:textId="2C1E717D" w:rsidR="00A652BE" w:rsidRDefault="00A652BE" w:rsidP="00FC4067">
      <w:pPr>
        <w:shd w:val="clear" w:color="auto" w:fill="FFFFFF" w:themeFill="background1"/>
      </w:pPr>
      <w:r>
        <w:t>IMAGE: Photo of Executive Leadership team. Front (from left): Graham Atkins, Liza Carroll, Christine Castley. Back: Robyn Turbit, Don Rivers, Kimberley Dripps</w:t>
      </w:r>
    </w:p>
    <w:p w14:paraId="62F60BC6" w14:textId="0A03C577" w:rsidR="008D404F" w:rsidRPr="00FC4067" w:rsidRDefault="009E1856" w:rsidP="00FC4067">
      <w:pPr>
        <w:shd w:val="clear" w:color="auto" w:fill="FFFFFF" w:themeFill="background1"/>
      </w:pPr>
      <w:r w:rsidRPr="00FC4067">
        <w:t>The Executive Leadership Team is our principal governing body</w:t>
      </w:r>
      <w:r w:rsidR="00581CD3" w:rsidRPr="00FC4067">
        <w:t>.</w:t>
      </w:r>
      <w:r w:rsidR="008D404F" w:rsidRPr="00FC4067">
        <w:t xml:space="preserve"> </w:t>
      </w:r>
      <w:r w:rsidR="00581CD3" w:rsidRPr="00FC4067">
        <w:t>It</w:t>
      </w:r>
      <w:r w:rsidR="008D404F" w:rsidRPr="00FC4067">
        <w:t xml:space="preserve"> supports the Director-General in meeting legislative requirements and accountabilities. The Executive Leadership Team is </w:t>
      </w:r>
      <w:r w:rsidRPr="00FC4067">
        <w:t>responsible for setting the strategic direction</w:t>
      </w:r>
      <w:r w:rsidR="00424994" w:rsidRPr="00FC4067">
        <w:t xml:space="preserve"> </w:t>
      </w:r>
      <w:r w:rsidRPr="00FC4067">
        <w:t xml:space="preserve">of the department, </w:t>
      </w:r>
      <w:r w:rsidR="00581CD3" w:rsidRPr="00FC4067">
        <w:t xml:space="preserve">effective planning and resource allocation </w:t>
      </w:r>
      <w:r w:rsidRPr="00FC4067">
        <w:t xml:space="preserve">and overseeing </w:t>
      </w:r>
      <w:r w:rsidR="0004162B" w:rsidRPr="00FC4067">
        <w:t xml:space="preserve">the department’s </w:t>
      </w:r>
      <w:r w:rsidRPr="00FC4067">
        <w:t xml:space="preserve">performance, program and project management. </w:t>
      </w:r>
    </w:p>
    <w:p w14:paraId="2AFF5A65" w14:textId="5ABA883E" w:rsidR="009E1856" w:rsidRPr="00FC4067" w:rsidRDefault="009E1856" w:rsidP="00FC4067">
      <w:pPr>
        <w:shd w:val="clear" w:color="auto" w:fill="FFFFFF" w:themeFill="background1"/>
      </w:pPr>
      <w:r w:rsidRPr="00FC4067">
        <w:t xml:space="preserve">The </w:t>
      </w:r>
      <w:r w:rsidR="00581CD3" w:rsidRPr="00FC4067">
        <w:t xml:space="preserve">role of the </w:t>
      </w:r>
      <w:r w:rsidRPr="00FC4067">
        <w:t>Executive Leadership Team is</w:t>
      </w:r>
      <w:r w:rsidR="00581CD3" w:rsidRPr="00FC4067">
        <w:t xml:space="preserve"> to</w:t>
      </w:r>
      <w:r w:rsidRPr="00FC4067">
        <w:t>:</w:t>
      </w:r>
    </w:p>
    <w:p w14:paraId="73F370FC" w14:textId="3CA38B28" w:rsidR="008D404F" w:rsidRPr="00FC4067" w:rsidRDefault="009E1856" w:rsidP="00096C6C">
      <w:pPr>
        <w:pStyle w:val="Bullets"/>
      </w:pPr>
      <w:r w:rsidRPr="00FC4067">
        <w:t>set our</w:t>
      </w:r>
      <w:r w:rsidR="0004162B" w:rsidRPr="00FC4067">
        <w:t xml:space="preserve"> department’s</w:t>
      </w:r>
      <w:r w:rsidRPr="00FC4067">
        <w:t xml:space="preserve"> </w:t>
      </w:r>
      <w:r w:rsidR="008D404F" w:rsidRPr="00FC4067">
        <w:t>goals and performance levels</w:t>
      </w:r>
    </w:p>
    <w:p w14:paraId="080B3B72" w14:textId="567F50FD" w:rsidR="009E1856" w:rsidRPr="00FC4067" w:rsidRDefault="00581CD3" w:rsidP="00096C6C">
      <w:pPr>
        <w:pStyle w:val="Bullets"/>
      </w:pPr>
      <w:r w:rsidRPr="00FC4067">
        <w:t>establish</w:t>
      </w:r>
      <w:r w:rsidR="008D404F" w:rsidRPr="00FC4067">
        <w:t xml:space="preserve"> our department’s culture and appetite for risk</w:t>
      </w:r>
    </w:p>
    <w:p w14:paraId="40E8E4D1" w14:textId="2077BB52" w:rsidR="008D404F" w:rsidRPr="00FC4067" w:rsidRDefault="009E1856" w:rsidP="00096C6C">
      <w:pPr>
        <w:pStyle w:val="Bullets"/>
      </w:pPr>
      <w:r w:rsidRPr="00FC4067">
        <w:t>provid</w:t>
      </w:r>
      <w:r w:rsidR="00581CD3" w:rsidRPr="00FC4067">
        <w:t>e</w:t>
      </w:r>
      <w:r w:rsidR="008D404F" w:rsidRPr="00FC4067">
        <w:t xml:space="preserve"> direction for our risk management system</w:t>
      </w:r>
    </w:p>
    <w:p w14:paraId="0DB1C045" w14:textId="0BC4595B" w:rsidR="008D404F" w:rsidRPr="00FC4067" w:rsidRDefault="0004162B" w:rsidP="00096C6C">
      <w:pPr>
        <w:pStyle w:val="Bullets"/>
      </w:pPr>
      <w:r w:rsidRPr="00FC4067">
        <w:t>provid</w:t>
      </w:r>
      <w:r w:rsidR="00581CD3" w:rsidRPr="00FC4067">
        <w:t>e</w:t>
      </w:r>
      <w:r w:rsidRPr="00FC4067">
        <w:t xml:space="preserve"> </w:t>
      </w:r>
      <w:r w:rsidR="008D404F" w:rsidRPr="00FC4067">
        <w:t>stewardship over the implementation of our programs and policies</w:t>
      </w:r>
    </w:p>
    <w:p w14:paraId="07EAEB3C" w14:textId="0D5D26C2" w:rsidR="005B787E" w:rsidRPr="00FC4067" w:rsidRDefault="009E1856" w:rsidP="00D675BC">
      <w:pPr>
        <w:pStyle w:val="Bullets"/>
      </w:pPr>
      <w:r w:rsidRPr="00FC4067">
        <w:t xml:space="preserve">monitor performance </w:t>
      </w:r>
      <w:r w:rsidR="0038432A" w:rsidRPr="00FC4067">
        <w:t>against planned business activities</w:t>
      </w:r>
      <w:r w:rsidRPr="00FC4067">
        <w:t xml:space="preserve"> </w:t>
      </w:r>
      <w:r w:rsidR="0038432A" w:rsidRPr="00FC4067">
        <w:t>as well as</w:t>
      </w:r>
      <w:r w:rsidRPr="00FC4067">
        <w:t xml:space="preserve"> the financial performance of our department</w:t>
      </w:r>
      <w:r w:rsidR="005B787E" w:rsidRPr="00FC4067">
        <w:t>.</w:t>
      </w:r>
    </w:p>
    <w:p w14:paraId="2F9B14AC" w14:textId="37A22C53" w:rsidR="009E1856" w:rsidRPr="00FC4067" w:rsidRDefault="009E1856" w:rsidP="00E05961">
      <w:pPr>
        <w:pStyle w:val="Bullets"/>
      </w:pPr>
      <w:r w:rsidRPr="00FC4067">
        <w:t>provid</w:t>
      </w:r>
      <w:r w:rsidR="0004162B" w:rsidRPr="00FC4067">
        <w:t xml:space="preserve">es </w:t>
      </w:r>
      <w:r w:rsidRPr="00FC4067">
        <w:t>a forum for debating and discussing strategic and key operational issues.</w:t>
      </w:r>
    </w:p>
    <w:p w14:paraId="7E5116DB" w14:textId="5AA4EF4C" w:rsidR="009E1856" w:rsidRPr="00FC4067" w:rsidRDefault="009E1856" w:rsidP="00FC4067">
      <w:pPr>
        <w:shd w:val="clear" w:color="auto" w:fill="FFFFFF" w:themeFill="background1"/>
      </w:pPr>
      <w:r w:rsidRPr="00FC4067">
        <w:t xml:space="preserve">As at 30 June </w:t>
      </w:r>
      <w:r w:rsidR="006F02AA" w:rsidRPr="00FC4067">
        <w:t>2017</w:t>
      </w:r>
      <w:r w:rsidRPr="00FC4067">
        <w:t>, the Executive Leadership Team was supported by</w:t>
      </w:r>
      <w:r w:rsidR="004B2DC8" w:rsidRPr="00FC4067">
        <w:t xml:space="preserve"> </w:t>
      </w:r>
      <w:r w:rsidR="007436D3">
        <w:t>six</w:t>
      </w:r>
      <w:r w:rsidR="007436D3" w:rsidRPr="00FC4067">
        <w:t xml:space="preserve"> </w:t>
      </w:r>
      <w:r w:rsidRPr="00FC4067">
        <w:t>committees which advised on matters within their terms of reference</w:t>
      </w:r>
      <w:r w:rsidR="0004162B" w:rsidRPr="00FC4067">
        <w:t xml:space="preserve">. The chairs of these committees report to the monthly Executive Leadership Team meetings. </w:t>
      </w:r>
    </w:p>
    <w:p w14:paraId="07E6CA12" w14:textId="77777777" w:rsidR="009E1856" w:rsidRPr="00FC4067" w:rsidRDefault="009E1856" w:rsidP="00FC4067">
      <w:pPr>
        <w:shd w:val="clear" w:color="auto" w:fill="FFFFFF" w:themeFill="background1"/>
      </w:pPr>
      <w:r w:rsidRPr="00FC4067">
        <w:rPr>
          <w:rStyle w:val="OfficelocationsheadingsChar"/>
        </w:rPr>
        <w:t>Chair:</w:t>
      </w:r>
      <w:r w:rsidRPr="00FC4067">
        <w:t xml:space="preserve">  Director-General</w:t>
      </w:r>
    </w:p>
    <w:p w14:paraId="3BE2C76A" w14:textId="77777777" w:rsidR="009E1856" w:rsidRPr="00FC4067" w:rsidRDefault="009E1856" w:rsidP="00FC4067">
      <w:pPr>
        <w:pStyle w:val="Officelocationsheadings"/>
        <w:shd w:val="clear" w:color="auto" w:fill="FFFFFF" w:themeFill="background1"/>
      </w:pPr>
      <w:r w:rsidRPr="00FC4067">
        <w:t>Members:</w:t>
      </w:r>
    </w:p>
    <w:p w14:paraId="0609142A" w14:textId="77777777" w:rsidR="009E1856" w:rsidRPr="00FC4067" w:rsidRDefault="009E1856" w:rsidP="00096C6C">
      <w:pPr>
        <w:pStyle w:val="Bullets"/>
      </w:pPr>
      <w:r w:rsidRPr="00FC4067">
        <w:t>Deputy Director-General, Housing and Homelessness Services</w:t>
      </w:r>
    </w:p>
    <w:p w14:paraId="25573CE4" w14:textId="168B951B" w:rsidR="009E1856" w:rsidRPr="00FC4067" w:rsidRDefault="009E1856" w:rsidP="00096C6C">
      <w:pPr>
        <w:pStyle w:val="Bullets"/>
      </w:pPr>
      <w:r w:rsidRPr="00FC4067">
        <w:t xml:space="preserve">Deputy Director-General, </w:t>
      </w:r>
      <w:r w:rsidR="008D404F" w:rsidRPr="00FC4067">
        <w:t>Public Works and Asset Management</w:t>
      </w:r>
    </w:p>
    <w:p w14:paraId="706C7B02" w14:textId="77777777" w:rsidR="009E1856" w:rsidRPr="00FC4067" w:rsidRDefault="009E1856" w:rsidP="00096C6C">
      <w:pPr>
        <w:pStyle w:val="Bullets"/>
      </w:pPr>
      <w:r w:rsidRPr="00FC4067">
        <w:t>Assistant Director-General, Building Industry and Policy</w:t>
      </w:r>
    </w:p>
    <w:p w14:paraId="0CB7F976" w14:textId="1FE508DF" w:rsidR="009E1856" w:rsidRPr="00FC4067" w:rsidRDefault="009E1856" w:rsidP="00096C6C">
      <w:pPr>
        <w:pStyle w:val="Bullets"/>
      </w:pPr>
      <w:r w:rsidRPr="00FC4067">
        <w:t xml:space="preserve">Assistant Director-General, </w:t>
      </w:r>
      <w:r w:rsidR="008D404F" w:rsidRPr="00FC4067">
        <w:t xml:space="preserve">Queensland Government </w:t>
      </w:r>
      <w:r w:rsidRPr="00FC4067">
        <w:t>Procuremen</w:t>
      </w:r>
      <w:r w:rsidR="008D404F" w:rsidRPr="00FC4067">
        <w:t>t</w:t>
      </w:r>
    </w:p>
    <w:p w14:paraId="08E9CF8E" w14:textId="77777777" w:rsidR="009E1856" w:rsidRDefault="009E1856" w:rsidP="00D675BC">
      <w:pPr>
        <w:pStyle w:val="Bullets"/>
      </w:pPr>
      <w:r w:rsidRPr="00FC4067">
        <w:t>Assistant Director-General, Corporate Services</w:t>
      </w:r>
    </w:p>
    <w:p w14:paraId="0F25B3DE" w14:textId="6C18B465" w:rsidR="007436D3" w:rsidRPr="00FC4067" w:rsidRDefault="00E94801" w:rsidP="00E05961">
      <w:pPr>
        <w:pStyle w:val="Bullets"/>
      </w:pPr>
      <w:r>
        <w:t xml:space="preserve">Acting </w:t>
      </w:r>
      <w:r w:rsidR="007436D3">
        <w:t>Executive Director, Aboriginal and Torres Strait Islander Strategy Unit</w:t>
      </w:r>
    </w:p>
    <w:p w14:paraId="7869362C" w14:textId="4B19985D" w:rsidR="002F5CF5" w:rsidRPr="00FC4067" w:rsidRDefault="00D535BF" w:rsidP="002F0A6A">
      <w:pPr>
        <w:pStyle w:val="Heading2"/>
      </w:pPr>
      <w:bookmarkStart w:id="39" w:name="_Toc494984632"/>
      <w:r w:rsidRPr="00FC4067">
        <w:t>Our Executive Leadership Team as at 30 June 2017</w:t>
      </w:r>
      <w:bookmarkEnd w:id="39"/>
    </w:p>
    <w:p w14:paraId="74EF8240" w14:textId="2197CC89" w:rsidR="00967326" w:rsidRPr="00792F33" w:rsidRDefault="009F29BA" w:rsidP="00FC4067">
      <w:pPr>
        <w:shd w:val="clear" w:color="auto" w:fill="FFFFFF" w:themeFill="background1"/>
        <w:rPr>
          <w:rStyle w:val="IntenseEmphasis"/>
        </w:rPr>
      </w:pPr>
      <w:r w:rsidRPr="00792F33">
        <w:rPr>
          <w:rStyle w:val="IntenseEmphasis"/>
        </w:rPr>
        <w:t>Liza Carroll</w:t>
      </w:r>
    </w:p>
    <w:p w14:paraId="196FCB3F" w14:textId="77777777" w:rsidR="009F29BA" w:rsidRPr="00FC4067" w:rsidRDefault="009F29BA" w:rsidP="00FC4067">
      <w:pPr>
        <w:shd w:val="clear" w:color="auto" w:fill="FFFFFF" w:themeFill="background1"/>
      </w:pPr>
      <w:r w:rsidRPr="00FC4067">
        <w:rPr>
          <w:b/>
        </w:rPr>
        <w:t>Chair:</w:t>
      </w:r>
      <w:r w:rsidRPr="00FC4067">
        <w:t xml:space="preserve">  Director-General</w:t>
      </w:r>
    </w:p>
    <w:p w14:paraId="70D4F771" w14:textId="047D1745" w:rsidR="009F29BA" w:rsidRPr="00AF428A" w:rsidRDefault="009F29BA" w:rsidP="00FC4067">
      <w:pPr>
        <w:shd w:val="clear" w:color="auto" w:fill="FFFFFF" w:themeFill="background1"/>
        <w:rPr>
          <w:b/>
        </w:rPr>
      </w:pPr>
      <w:r w:rsidRPr="00FC4067">
        <w:rPr>
          <w:b/>
        </w:rPr>
        <w:t>B</w:t>
      </w:r>
      <w:r w:rsidR="00E53BAD" w:rsidRPr="00FC4067">
        <w:rPr>
          <w:b/>
        </w:rPr>
        <w:t>e</w:t>
      </w:r>
      <w:r w:rsidRPr="00FC4067">
        <w:rPr>
          <w:b/>
        </w:rPr>
        <w:t>d</w:t>
      </w:r>
      <w:r w:rsidR="00E53BAD">
        <w:rPr>
          <w:b/>
        </w:rPr>
        <w:t>,</w:t>
      </w:r>
      <w:r w:rsidRPr="00FC4067">
        <w:rPr>
          <w:b/>
        </w:rPr>
        <w:t xml:space="preserve"> MEd (Hons)</w:t>
      </w:r>
    </w:p>
    <w:p w14:paraId="38043A27" w14:textId="70149DEF" w:rsidR="00D80FFB" w:rsidRPr="00FC4067" w:rsidRDefault="00D80FFB" w:rsidP="00FC4067">
      <w:pPr>
        <w:shd w:val="clear" w:color="auto" w:fill="FFFFFF" w:themeFill="background1"/>
      </w:pPr>
      <w:r w:rsidRPr="00FC4067">
        <w:t xml:space="preserve">Liza was appointed as Director-General of the Department of Housing and Public Works in August 2015. She has over 15 years senior executive experience across the </w:t>
      </w:r>
      <w:r w:rsidR="00EB4EFA" w:rsidRPr="00FC4067">
        <w:t>Australian</w:t>
      </w:r>
      <w:r w:rsidRPr="00FC4067">
        <w:t xml:space="preserve"> and Queensland </w:t>
      </w:r>
      <w:r w:rsidR="00000574" w:rsidRPr="00FC4067">
        <w:t>G</w:t>
      </w:r>
      <w:r w:rsidRPr="00FC4067">
        <w:t xml:space="preserve">overnments. During this time Liza has delivered reforms in the areas of housing, homelessness, families, income support and communities. </w:t>
      </w:r>
    </w:p>
    <w:p w14:paraId="1537BF24" w14:textId="05606BAE" w:rsidR="00D80FFB" w:rsidRPr="00FC4067" w:rsidRDefault="00D80FFB" w:rsidP="00FC4067">
      <w:pPr>
        <w:shd w:val="clear" w:color="auto" w:fill="FFFFFF" w:themeFill="background1"/>
      </w:pPr>
      <w:r w:rsidRPr="00FC4067">
        <w:t xml:space="preserve">Liza is the former Associate Secretary of Indigenous Affairs in the Department of </w:t>
      </w:r>
      <w:r w:rsidR="001F2050" w:rsidRPr="00FC4067">
        <w:t xml:space="preserve">the </w:t>
      </w:r>
      <w:r w:rsidRPr="00FC4067">
        <w:t>Prime Minister and Cabinet. She started her career in the early childhood education and higher education arenas.</w:t>
      </w:r>
    </w:p>
    <w:p w14:paraId="356D470D" w14:textId="134D9F93" w:rsidR="00D80FFB" w:rsidRPr="00FC4067" w:rsidRDefault="00D80FFB" w:rsidP="00FC4067">
      <w:pPr>
        <w:shd w:val="clear" w:color="auto" w:fill="FFFFFF" w:themeFill="background1"/>
      </w:pPr>
      <w:r w:rsidRPr="00FC4067">
        <w:t>Liza has a keen interest in public sector leadership and administration in terms of strategy and delivery for government and the community.</w:t>
      </w:r>
    </w:p>
    <w:p w14:paraId="4F4608B3" w14:textId="177F46D5" w:rsidR="0076657B" w:rsidRPr="00FC4067" w:rsidRDefault="009F29BA" w:rsidP="00FC4067">
      <w:pPr>
        <w:shd w:val="clear" w:color="auto" w:fill="FFFFFF" w:themeFill="background1"/>
        <w:rPr>
          <w:rStyle w:val="IntenseEmphasis"/>
        </w:rPr>
      </w:pPr>
      <w:r w:rsidRPr="00FC4067">
        <w:rPr>
          <w:rStyle w:val="IntenseEmphasis"/>
        </w:rPr>
        <w:t>Christine Castley</w:t>
      </w:r>
      <w:r w:rsidR="00216795" w:rsidRPr="00FC4067">
        <w:rPr>
          <w:rStyle w:val="IntenseEmphasis"/>
        </w:rPr>
        <w:t xml:space="preserve"> </w:t>
      </w:r>
    </w:p>
    <w:p w14:paraId="56C4FAC7" w14:textId="16976854" w:rsidR="009F29BA" w:rsidRPr="00FC4067" w:rsidRDefault="009F29BA" w:rsidP="00FC4067">
      <w:pPr>
        <w:shd w:val="clear" w:color="auto" w:fill="FFFFFF" w:themeFill="background1"/>
      </w:pPr>
      <w:r w:rsidRPr="00FC4067">
        <w:rPr>
          <w:b/>
        </w:rPr>
        <w:t>Member:</w:t>
      </w:r>
      <w:r w:rsidRPr="00FC4067">
        <w:t xml:space="preserve"> Deputy Director-General, Housing and Homelessness Services</w:t>
      </w:r>
    </w:p>
    <w:p w14:paraId="5DD58027" w14:textId="77777777" w:rsidR="009F29BA" w:rsidRPr="00AF428A" w:rsidRDefault="009F29BA" w:rsidP="00FC4067">
      <w:pPr>
        <w:shd w:val="clear" w:color="auto" w:fill="FFFFFF" w:themeFill="background1"/>
        <w:rPr>
          <w:b/>
        </w:rPr>
      </w:pPr>
      <w:r w:rsidRPr="00FC4067">
        <w:rPr>
          <w:b/>
        </w:rPr>
        <w:t>BA/LLB, MPA</w:t>
      </w:r>
    </w:p>
    <w:p w14:paraId="4AEA2B19" w14:textId="1CF954E9" w:rsidR="00C1319E" w:rsidRPr="00FC4067" w:rsidRDefault="00C1319E" w:rsidP="00FC4067">
      <w:pPr>
        <w:shd w:val="clear" w:color="auto" w:fill="FFFFFF" w:themeFill="background1"/>
        <w:rPr>
          <w:lang w:eastAsia="en-AU"/>
        </w:rPr>
      </w:pPr>
      <w:r w:rsidRPr="00FC4067">
        <w:t xml:space="preserve">Christine has been with the department since March 2016, bringing with her </w:t>
      </w:r>
      <w:r w:rsidR="005E29D4" w:rsidRPr="00FC4067">
        <w:t xml:space="preserve">over 20 years’ </w:t>
      </w:r>
      <w:r w:rsidR="00A24D5D" w:rsidRPr="00FC4067">
        <w:t>experience</w:t>
      </w:r>
      <w:r w:rsidRPr="00FC4067">
        <w:t xml:space="preserve"> in the public sector. In her previous role of Senior Executive Director of Social Policy with the Department of the Premier and Cabinet, Christine led and coordinated a wide range of whole-of-government social and justice issues. In </w:t>
      </w:r>
      <w:r w:rsidRPr="00FC4067">
        <w:lastRenderedPageBreak/>
        <w:t xml:space="preserve">2014–15 in particular, Christine led the Secretariat to the Government’s Taskforce on Domestic and Family Violence. Prior to this, Christine held senior positions in the Department of Natural Resources and Mines, the Department of State Development and the Queensland Performing Arts Trust. </w:t>
      </w:r>
    </w:p>
    <w:p w14:paraId="09A65F94" w14:textId="77777777" w:rsidR="00FD7A90" w:rsidRPr="00FC4067" w:rsidRDefault="00FD7A90" w:rsidP="00FC4067">
      <w:pPr>
        <w:shd w:val="clear" w:color="auto" w:fill="FFFFFF" w:themeFill="background1"/>
      </w:pPr>
    </w:p>
    <w:p w14:paraId="5C07411E" w14:textId="3E9D934C" w:rsidR="009F29BA" w:rsidRPr="00FC4067" w:rsidRDefault="009F29BA" w:rsidP="00FC4067">
      <w:pPr>
        <w:shd w:val="clear" w:color="auto" w:fill="FFFFFF" w:themeFill="background1"/>
        <w:rPr>
          <w:rStyle w:val="IntenseEmphasis"/>
          <w:color w:val="FFFFFF" w:themeColor="background1"/>
        </w:rPr>
      </w:pPr>
      <w:r w:rsidRPr="00FC4067">
        <w:rPr>
          <w:rStyle w:val="IntenseEmphasis"/>
        </w:rPr>
        <w:t>Graham Atkins</w:t>
      </w:r>
      <w:r w:rsidR="00216795" w:rsidRPr="00FC4067">
        <w:rPr>
          <w:rStyle w:val="IntenseEmphasis"/>
        </w:rPr>
        <w:t xml:space="preserve"> </w:t>
      </w:r>
    </w:p>
    <w:p w14:paraId="1D5A045A" w14:textId="052EFDA2" w:rsidR="009F29BA" w:rsidRPr="00FC4067" w:rsidRDefault="009F29BA" w:rsidP="00FC4067">
      <w:pPr>
        <w:shd w:val="clear" w:color="auto" w:fill="FFFFFF" w:themeFill="background1"/>
      </w:pPr>
      <w:r w:rsidRPr="00FC4067">
        <w:rPr>
          <w:b/>
        </w:rPr>
        <w:t>Member:</w:t>
      </w:r>
      <w:r w:rsidRPr="00FC4067">
        <w:t xml:space="preserve"> Deputy Director-General, </w:t>
      </w:r>
      <w:r w:rsidR="00DF17A8" w:rsidRPr="00FC4067">
        <w:t>Public Works and Asset Management</w:t>
      </w:r>
    </w:p>
    <w:p w14:paraId="2165AC1E" w14:textId="77777777" w:rsidR="009F29BA" w:rsidRPr="00AF428A" w:rsidRDefault="009F29BA" w:rsidP="00FC4067">
      <w:pPr>
        <w:shd w:val="clear" w:color="auto" w:fill="FFFFFF" w:themeFill="background1"/>
        <w:rPr>
          <w:b/>
        </w:rPr>
      </w:pPr>
      <w:r w:rsidRPr="00FC4067">
        <w:rPr>
          <w:b/>
        </w:rPr>
        <w:t>BA Science (Quantity Surveying), Associate Dip. of Applied Science (Building)</w:t>
      </w:r>
    </w:p>
    <w:p w14:paraId="2A20488E" w14:textId="116EBEA9" w:rsidR="009F29BA" w:rsidRPr="00FC4067" w:rsidRDefault="009F29BA" w:rsidP="00FC4067">
      <w:pPr>
        <w:shd w:val="clear" w:color="auto" w:fill="FFFFFF" w:themeFill="background1"/>
      </w:pPr>
      <w:r w:rsidRPr="00FC4067">
        <w:t>Graham has vast experience in the building and construction industry spa</w:t>
      </w:r>
      <w:r w:rsidR="00125F09" w:rsidRPr="00FC4067">
        <w:t>n</w:t>
      </w:r>
      <w:r w:rsidRPr="00FC4067">
        <w:t>n</w:t>
      </w:r>
      <w:r w:rsidR="00317614" w:rsidRPr="00FC4067">
        <w:t>ing</w:t>
      </w:r>
      <w:r w:rsidRPr="00FC4067">
        <w:t xml:space="preserve"> a number of decades. Graham has contributed to the Executive Leadership Team </w:t>
      </w:r>
      <w:r w:rsidR="00125F09" w:rsidRPr="00FC4067">
        <w:t>in his role as Deputy Director-</w:t>
      </w:r>
      <w:r w:rsidRPr="00FC4067">
        <w:t xml:space="preserve">General since </w:t>
      </w:r>
      <w:r w:rsidR="00DF17A8" w:rsidRPr="00FC4067">
        <w:t xml:space="preserve">joining the department in </w:t>
      </w:r>
      <w:r w:rsidRPr="00FC4067">
        <w:t>July 2011. Graham has held senior executive positions within other government departments, including Deputy Director-General of the Department of Education and Training, where he was responsible for infrastructure planning and delivery. Graham holds a Queensland Open Builders Licence.</w:t>
      </w:r>
    </w:p>
    <w:p w14:paraId="338C3F89" w14:textId="7F9B19D9" w:rsidR="009F29BA" w:rsidRPr="00FC4067" w:rsidRDefault="00BB497D" w:rsidP="00FC4067">
      <w:pPr>
        <w:shd w:val="clear" w:color="auto" w:fill="FFFFFF" w:themeFill="background1"/>
        <w:rPr>
          <w:rStyle w:val="IntenseEmphasis"/>
        </w:rPr>
      </w:pPr>
      <w:r w:rsidRPr="00FC4067">
        <w:rPr>
          <w:rStyle w:val="IntenseEmphasis"/>
        </w:rPr>
        <w:t>Kimberley Dripps</w:t>
      </w:r>
      <w:r w:rsidR="009B1396" w:rsidRPr="00FC4067">
        <w:rPr>
          <w:rStyle w:val="IntenseEmphasis"/>
        </w:rPr>
        <w:t xml:space="preserve"> </w:t>
      </w:r>
    </w:p>
    <w:p w14:paraId="266E3D58" w14:textId="64BF204A" w:rsidR="009F29BA" w:rsidRPr="00FC4067" w:rsidRDefault="009F29BA" w:rsidP="00FC4067">
      <w:pPr>
        <w:shd w:val="clear" w:color="auto" w:fill="FFFFFF" w:themeFill="background1"/>
      </w:pPr>
      <w:r w:rsidRPr="00FC4067">
        <w:rPr>
          <w:b/>
        </w:rPr>
        <w:t>Member:</w:t>
      </w:r>
      <w:r w:rsidRPr="00FC4067">
        <w:t xml:space="preserve"> Assistant Director-General, </w:t>
      </w:r>
      <w:r w:rsidR="00213DE1" w:rsidRPr="00FC4067">
        <w:t>Queensland Government Procurement</w:t>
      </w:r>
    </w:p>
    <w:p w14:paraId="6E3412E3" w14:textId="5362121B" w:rsidR="009F29BA" w:rsidRPr="00FC4067" w:rsidRDefault="00BE0314" w:rsidP="00FC4067">
      <w:pPr>
        <w:shd w:val="clear" w:color="auto" w:fill="FFFFFF" w:themeFill="background1"/>
      </w:pPr>
      <w:r w:rsidRPr="00FC4067">
        <w:rPr>
          <w:b/>
          <w:shd w:val="clear" w:color="auto" w:fill="FFFFFF" w:themeFill="background1"/>
        </w:rPr>
        <w:t>BVsc (Hons), MBA, GAICD</w:t>
      </w:r>
    </w:p>
    <w:p w14:paraId="5D1EBC90" w14:textId="771C6895" w:rsidR="00213DE1" w:rsidRPr="00FC4067" w:rsidRDefault="00213DE1" w:rsidP="00FC4067">
      <w:pPr>
        <w:shd w:val="clear" w:color="auto" w:fill="FFFFFF" w:themeFill="background1"/>
      </w:pPr>
      <w:r w:rsidRPr="00FC4067">
        <w:t xml:space="preserve">Kimberley was appointed </w:t>
      </w:r>
      <w:r w:rsidRPr="00FC4067">
        <w:rPr>
          <w:strike/>
        </w:rPr>
        <w:t>as</w:t>
      </w:r>
      <w:r w:rsidRPr="00FC4067">
        <w:t xml:space="preserve"> Assistant Director-General, Queensland Government Procurement and Chief Advisor, Queensland Government Procurement in April 2017.</w:t>
      </w:r>
    </w:p>
    <w:p w14:paraId="3FA4CE3B" w14:textId="1493D45B" w:rsidR="008857BB" w:rsidRPr="00FC4067" w:rsidRDefault="00BB497D" w:rsidP="00FC4067">
      <w:pPr>
        <w:shd w:val="clear" w:color="auto" w:fill="FFFFFF" w:themeFill="background1"/>
      </w:pPr>
      <w:r w:rsidRPr="00FC4067">
        <w:t xml:space="preserve">Kimberley has a strong </w:t>
      </w:r>
      <w:r w:rsidR="004E0618" w:rsidRPr="00FC4067">
        <w:t>public-sector</w:t>
      </w:r>
      <w:r w:rsidRPr="00FC4067">
        <w:t xml:space="preserve"> background, </w:t>
      </w:r>
      <w:r w:rsidR="00213DE1" w:rsidRPr="00FC4067">
        <w:t xml:space="preserve">working </w:t>
      </w:r>
      <w:r w:rsidRPr="00FC4067">
        <w:t xml:space="preserve">most recently as Deputy Secretary in the </w:t>
      </w:r>
      <w:r w:rsidR="00030E8D" w:rsidRPr="00FC4067">
        <w:t xml:space="preserve">Australian </w:t>
      </w:r>
      <w:r w:rsidRPr="00FC4067">
        <w:t xml:space="preserve">Department of Environment. She has also worked in Victoria for the Department of </w:t>
      </w:r>
      <w:r w:rsidR="00303B33" w:rsidRPr="00FC4067">
        <w:t xml:space="preserve">the </w:t>
      </w:r>
      <w:r w:rsidRPr="00FC4067">
        <w:t>Premier and Cabinet, and in a number of policy and program roles across the state’s planning, transport and agriculture portfolios.</w:t>
      </w:r>
      <w:r w:rsidR="009B1396" w:rsidRPr="00FC4067">
        <w:t xml:space="preserve"> </w:t>
      </w:r>
      <w:r w:rsidRPr="00FC4067">
        <w:t xml:space="preserve">Before joining </w:t>
      </w:r>
      <w:r w:rsidR="004C257D">
        <w:t>the Department</w:t>
      </w:r>
      <w:r w:rsidR="001E2F65" w:rsidRPr="00FC4067">
        <w:t>,</w:t>
      </w:r>
      <w:r w:rsidRPr="00FC4067">
        <w:t xml:space="preserve"> Kimberley was a Principal at the Nous </w:t>
      </w:r>
      <w:r w:rsidRPr="00FC4067">
        <w:t xml:space="preserve">Group, leading the public policy practice in Queensland. </w:t>
      </w:r>
    </w:p>
    <w:p w14:paraId="781DFABB" w14:textId="28CBA377" w:rsidR="009F29BA" w:rsidRPr="00FC4067" w:rsidRDefault="009F29BA" w:rsidP="00FC4067">
      <w:pPr>
        <w:shd w:val="clear" w:color="auto" w:fill="FFFFFF" w:themeFill="background1"/>
        <w:rPr>
          <w:rStyle w:val="IntenseEmphasis"/>
        </w:rPr>
      </w:pPr>
      <w:bookmarkStart w:id="40" w:name="_Hlk489343326"/>
      <w:r w:rsidRPr="00FC4067">
        <w:rPr>
          <w:rStyle w:val="IntenseEmphasis"/>
        </w:rPr>
        <w:t>Don Rivers</w:t>
      </w:r>
      <w:r w:rsidR="00967326" w:rsidRPr="00FC4067">
        <w:rPr>
          <w:rStyle w:val="IntenseEmphasis"/>
        </w:rPr>
        <w:t xml:space="preserve"> </w:t>
      </w:r>
    </w:p>
    <w:p w14:paraId="3128C93A" w14:textId="77777777" w:rsidR="009F29BA" w:rsidRPr="00FC4067" w:rsidRDefault="009F29BA" w:rsidP="00FC4067">
      <w:pPr>
        <w:shd w:val="clear" w:color="auto" w:fill="FFFFFF" w:themeFill="background1"/>
      </w:pPr>
      <w:r w:rsidRPr="00FC4067">
        <w:rPr>
          <w:b/>
        </w:rPr>
        <w:t>Member:</w:t>
      </w:r>
      <w:r w:rsidRPr="00FC4067">
        <w:t xml:space="preserve"> Assistant Director-General, Building Industry and Policy</w:t>
      </w:r>
    </w:p>
    <w:p w14:paraId="04BC8220" w14:textId="77777777" w:rsidR="009F29BA" w:rsidRPr="00AF428A" w:rsidRDefault="009F29BA" w:rsidP="00FC4067">
      <w:pPr>
        <w:shd w:val="clear" w:color="auto" w:fill="FFFFFF" w:themeFill="background1"/>
        <w:rPr>
          <w:b/>
        </w:rPr>
      </w:pPr>
      <w:r w:rsidRPr="00FC4067">
        <w:rPr>
          <w:b/>
        </w:rPr>
        <w:t>Dip Architecture, Grad Dip Building Project Management</w:t>
      </w:r>
    </w:p>
    <w:p w14:paraId="51722DC3" w14:textId="77777777" w:rsidR="009B1396" w:rsidRPr="00FC4067" w:rsidRDefault="009B1396" w:rsidP="00FC4067">
      <w:pPr>
        <w:shd w:val="clear" w:color="auto" w:fill="FFFFFF" w:themeFill="background1"/>
      </w:pPr>
      <w:r w:rsidRPr="00FC4067">
        <w:t>Don was appointed to the role of Assistant Director-General, Building Industry and Policy in July 2013. Don is responsible for the delivery of policy development and legislative reform related to the building industry, and maintaining open and professional stakeholder engagement with the design and building construction sector on behalf of the department.</w:t>
      </w:r>
    </w:p>
    <w:p w14:paraId="6D5B73EE" w14:textId="5EF7CD70" w:rsidR="009F29BA" w:rsidRPr="00FC4067" w:rsidRDefault="009F29BA" w:rsidP="00FC4067">
      <w:pPr>
        <w:shd w:val="clear" w:color="auto" w:fill="FFFFFF" w:themeFill="background1"/>
      </w:pPr>
      <w:r w:rsidRPr="00FC4067">
        <w:t>Don joined the department in 1995 after 20 years in the private sector as an architect, delivering many of Queensland’s capital works projects. Don has held a number of positions in the department’s former commercialised business unit, Project Services, including Regional Architect, Client Manager, Portfolio Director, and General Manager.</w:t>
      </w:r>
    </w:p>
    <w:bookmarkEnd w:id="40"/>
    <w:p w14:paraId="17DE8C41" w14:textId="35EF7E01" w:rsidR="009F29BA" w:rsidRPr="00FC4067" w:rsidRDefault="009F29BA" w:rsidP="00FC4067">
      <w:pPr>
        <w:shd w:val="clear" w:color="auto" w:fill="FFFFFF" w:themeFill="background1"/>
        <w:rPr>
          <w:rStyle w:val="IntenseEmphasis"/>
        </w:rPr>
      </w:pPr>
      <w:r w:rsidRPr="00FC4067">
        <w:rPr>
          <w:rStyle w:val="IntenseEmphasis"/>
        </w:rPr>
        <w:t>Robyn Turbit</w:t>
      </w:r>
    </w:p>
    <w:p w14:paraId="4FB74BBD" w14:textId="65C0BC14" w:rsidR="009F29BA" w:rsidRPr="00FC4067" w:rsidRDefault="009F29BA" w:rsidP="00FC4067">
      <w:pPr>
        <w:shd w:val="clear" w:color="auto" w:fill="FFFFFF" w:themeFill="background1"/>
      </w:pPr>
      <w:r w:rsidRPr="00FC4067">
        <w:rPr>
          <w:b/>
        </w:rPr>
        <w:t>Member:</w:t>
      </w:r>
      <w:r w:rsidRPr="00FC4067">
        <w:t xml:space="preserve"> Assistant Director-General, Corporate Services</w:t>
      </w:r>
    </w:p>
    <w:p w14:paraId="45E17F5B" w14:textId="12E4B08A" w:rsidR="009F29BA" w:rsidRPr="00AF428A" w:rsidRDefault="009F29BA" w:rsidP="00FC4067">
      <w:pPr>
        <w:shd w:val="clear" w:color="auto" w:fill="FFFFFF" w:themeFill="background1"/>
        <w:rPr>
          <w:b/>
        </w:rPr>
      </w:pPr>
      <w:r w:rsidRPr="00FC4067">
        <w:rPr>
          <w:b/>
        </w:rPr>
        <w:t>BComm</w:t>
      </w:r>
      <w:r w:rsidR="00DB3C5D">
        <w:rPr>
          <w:b/>
        </w:rPr>
        <w:t>,</w:t>
      </w:r>
      <w:r w:rsidRPr="00FC4067">
        <w:rPr>
          <w:b/>
        </w:rPr>
        <w:t xml:space="preserve"> BEcon</w:t>
      </w:r>
    </w:p>
    <w:p w14:paraId="67D873AF" w14:textId="7BA359D0" w:rsidR="002B79F4" w:rsidRPr="00FC4067" w:rsidRDefault="002B79F4" w:rsidP="00FC4067">
      <w:pPr>
        <w:shd w:val="clear" w:color="auto" w:fill="FFFFFF" w:themeFill="background1"/>
      </w:pPr>
      <w:r w:rsidRPr="00FC4067">
        <w:t>Robyn has worked for almost 40 years across the private and public sectors predominantly relating to accounting, auditing and governance functions. Over this career span</w:t>
      </w:r>
      <w:r w:rsidR="004C4E96" w:rsidRPr="00FC4067">
        <w:t>,</w:t>
      </w:r>
      <w:r w:rsidRPr="00FC4067">
        <w:t xml:space="preserve"> she has undertaken her various roles using many employment styles, viz. full-time, part-time, telecommuting, </w:t>
      </w:r>
      <w:r w:rsidR="004C4E96" w:rsidRPr="00FC4067">
        <w:t xml:space="preserve">and </w:t>
      </w:r>
      <w:r w:rsidRPr="00FC4067">
        <w:t>contracting.</w:t>
      </w:r>
    </w:p>
    <w:p w14:paraId="75DB020C" w14:textId="4E50A18D" w:rsidR="002B79F4" w:rsidRPr="00FC4067" w:rsidRDefault="002B79F4" w:rsidP="00FC4067">
      <w:pPr>
        <w:shd w:val="clear" w:color="auto" w:fill="FFFFFF" w:themeFill="background1"/>
      </w:pPr>
      <w:r w:rsidRPr="00FC4067">
        <w:t xml:space="preserve">Robyn has worked in a number of public sector departments but for the last 27 years within the various iterations of the Department of Housing and Public Works. Robyn was appointed as the first Internal Audit Manager for the department and went on to fill a variety of positions until her appointment to the Assistant Director-General Corporate Services position in 2007. </w:t>
      </w:r>
    </w:p>
    <w:p w14:paraId="0466F8B3" w14:textId="7DCF9BE6" w:rsidR="009F29BA" w:rsidRPr="00FC4067" w:rsidRDefault="00AE10A5" w:rsidP="00FC4067">
      <w:pPr>
        <w:shd w:val="clear" w:color="auto" w:fill="FFFFFF" w:themeFill="background1"/>
        <w:rPr>
          <w:rStyle w:val="IntenseEmphasis"/>
          <w:b/>
          <w:bCs/>
        </w:rPr>
      </w:pPr>
      <w:r w:rsidRPr="00FC4067">
        <w:rPr>
          <w:rStyle w:val="IntenseEmphasis"/>
        </w:rPr>
        <w:t>Wayne A</w:t>
      </w:r>
      <w:r w:rsidR="09CC734A" w:rsidRPr="00FC4067">
        <w:rPr>
          <w:rStyle w:val="IntenseEmphasis"/>
        </w:rPr>
        <w:t>h B</w:t>
      </w:r>
      <w:r w:rsidRPr="00FC4067">
        <w:rPr>
          <w:rStyle w:val="IntenseEmphasis"/>
        </w:rPr>
        <w:t>oo</w:t>
      </w:r>
      <w:r w:rsidR="009B1396" w:rsidRPr="00FC4067">
        <w:rPr>
          <w:rStyle w:val="IntenseEmphasis"/>
        </w:rPr>
        <w:t xml:space="preserve"> </w:t>
      </w:r>
    </w:p>
    <w:p w14:paraId="7D5FB068" w14:textId="06465418" w:rsidR="009F29BA" w:rsidRPr="00FC4067" w:rsidRDefault="009F29BA" w:rsidP="00FC4067">
      <w:pPr>
        <w:shd w:val="clear" w:color="auto" w:fill="FFFFFF" w:themeFill="background1"/>
      </w:pPr>
      <w:r w:rsidRPr="00FC4067">
        <w:rPr>
          <w:b/>
        </w:rPr>
        <w:lastRenderedPageBreak/>
        <w:t>Member:</w:t>
      </w:r>
      <w:r w:rsidRPr="00FC4067">
        <w:t xml:space="preserve"> </w:t>
      </w:r>
      <w:r w:rsidR="00AE10A5" w:rsidRPr="00FC4067">
        <w:t>A</w:t>
      </w:r>
      <w:r w:rsidR="00E94801">
        <w:t xml:space="preserve">cting </w:t>
      </w:r>
      <w:r w:rsidRPr="00FC4067">
        <w:t>Executive Director, Aboriginal and Torres Strait Islander Strategy</w:t>
      </w:r>
      <w:r w:rsidR="00E94801">
        <w:t xml:space="preserve"> Unit</w:t>
      </w:r>
    </w:p>
    <w:p w14:paraId="5AFF8DA0" w14:textId="23541155" w:rsidR="009F29BA" w:rsidRPr="00FC4067" w:rsidRDefault="00AE10A5" w:rsidP="00FC4067">
      <w:pPr>
        <w:shd w:val="clear" w:color="auto" w:fill="FFFFFF" w:themeFill="background1"/>
        <w:rPr>
          <w:strike/>
        </w:rPr>
      </w:pPr>
      <w:r w:rsidRPr="00FC4067">
        <w:rPr>
          <w:strike/>
        </w:rPr>
        <w:t>Qualifications:</w:t>
      </w:r>
    </w:p>
    <w:p w14:paraId="5BAE1870" w14:textId="03606908" w:rsidR="009F29BA" w:rsidRPr="00AF428A" w:rsidRDefault="77A3F821" w:rsidP="00FC4067">
      <w:pPr>
        <w:shd w:val="clear" w:color="auto" w:fill="FFFFFF" w:themeFill="background1"/>
        <w:rPr>
          <w:b/>
        </w:rPr>
      </w:pPr>
      <w:r w:rsidRPr="00FC4067">
        <w:rPr>
          <w:b/>
        </w:rPr>
        <w:t>BBus (Accounting)</w:t>
      </w:r>
    </w:p>
    <w:p w14:paraId="49EE446F" w14:textId="687F4E9F" w:rsidR="005C6290" w:rsidRPr="00FC4067" w:rsidRDefault="4C4EBCC0" w:rsidP="00FC4067">
      <w:pPr>
        <w:shd w:val="clear" w:color="auto" w:fill="FFFFFF" w:themeFill="background1"/>
      </w:pPr>
      <w:r w:rsidRPr="00FC4067">
        <w:t xml:space="preserve">Wayne is a Torres Strait Islander whose family ancestry extends to the Islands of Mabuiag and Iama. He has over 30 years experience working in Aboriginal and Torres Strait Islander affairs in Queensland. This has included a decade of work in the </w:t>
      </w:r>
      <w:r w:rsidR="00645970" w:rsidRPr="00FC4067">
        <w:t xml:space="preserve">Australian </w:t>
      </w:r>
      <w:r w:rsidRPr="00FC4067">
        <w:t xml:space="preserve">Government with the Department of Aboriginal Affairs, the Public Service Commission and the Aboriginal and Torres Strait Islander Commission. During a 17-year period, he also held Executive and Senior roles within the Queensland Government in the areas of employment, education and housing. Wayne is passionate about helping his community and making a difference for Aboriginal and Torres Strait Islander peoples in Queensland. </w:t>
      </w:r>
    </w:p>
    <w:p w14:paraId="7EF5BB8A" w14:textId="2126832A" w:rsidR="009D2125" w:rsidRPr="00FC4067" w:rsidRDefault="009D2125" w:rsidP="0004270E">
      <w:pPr>
        <w:pStyle w:val="Heading2"/>
      </w:pPr>
      <w:bookmarkStart w:id="41" w:name="_Toc494984633"/>
      <w:bookmarkStart w:id="42" w:name="_Hlk493089476"/>
      <w:r w:rsidRPr="00FC4067">
        <w:t>Governance Committees</w:t>
      </w:r>
      <w:bookmarkEnd w:id="41"/>
    </w:p>
    <w:p w14:paraId="2A08B2B1" w14:textId="01513C64" w:rsidR="009D2125" w:rsidRPr="00FC4067" w:rsidRDefault="009D2125" w:rsidP="00792F33">
      <w:pPr>
        <w:pStyle w:val="Heading3"/>
      </w:pPr>
      <w:r w:rsidRPr="00FC4067">
        <w:t>Audit</w:t>
      </w:r>
      <w:r w:rsidR="008D64AB" w:rsidRPr="00FC4067">
        <w:t xml:space="preserve"> </w:t>
      </w:r>
      <w:r w:rsidR="00216984" w:rsidRPr="00FC4067">
        <w:t>and Risk</w:t>
      </w:r>
      <w:r w:rsidRPr="00FC4067">
        <w:t xml:space="preserve"> Committee</w:t>
      </w:r>
    </w:p>
    <w:p w14:paraId="6135E5F9" w14:textId="5225D361" w:rsidR="00CB45B4" w:rsidRPr="00FC4067" w:rsidRDefault="00CB38CB" w:rsidP="00FC4067">
      <w:pPr>
        <w:shd w:val="clear" w:color="auto" w:fill="FFFFFF" w:themeFill="background1"/>
      </w:pPr>
      <w:r w:rsidRPr="00FC4067">
        <w:t xml:space="preserve">The Audit and Risk Committee is appointed and authorised pursuant to sections 28 and 35 of the </w:t>
      </w:r>
      <w:r w:rsidRPr="00FC4067">
        <w:rPr>
          <w:i/>
          <w:iCs/>
        </w:rPr>
        <w:t>Financial and Performance Management Standard 2009</w:t>
      </w:r>
      <w:r w:rsidRPr="00FC4067">
        <w:t xml:space="preserve">. The committee acts as an advisory service to the Director-General to assist in the effective discharge of the </w:t>
      </w:r>
      <w:r w:rsidR="00F13E4D" w:rsidRPr="00FC4067">
        <w:t xml:space="preserve">Director-General’s </w:t>
      </w:r>
      <w:r w:rsidRPr="00FC4067">
        <w:t xml:space="preserve">responsibilities in the </w:t>
      </w:r>
      <w:r w:rsidRPr="00FC4067">
        <w:rPr>
          <w:i/>
          <w:iCs/>
        </w:rPr>
        <w:t>Financial Accountability Act 2009</w:t>
      </w:r>
      <w:r w:rsidRPr="00FC4067">
        <w:t xml:space="preserve">, the </w:t>
      </w:r>
      <w:r w:rsidRPr="00FC4067">
        <w:rPr>
          <w:i/>
          <w:iCs/>
        </w:rPr>
        <w:t>Financial and Performance Management Standard 2009</w:t>
      </w:r>
      <w:r w:rsidRPr="00FC4067">
        <w:t xml:space="preserve"> and other relevant legislation and prescribed requirements. In doing so it provides independent comment, advice and counsel to the Director-General on financial statements, performance management, risk management, compliance and internal and external audit</w:t>
      </w:r>
      <w:r w:rsidR="00EE0E30" w:rsidRPr="00FC4067">
        <w:t>s</w:t>
      </w:r>
      <w:r w:rsidRPr="00FC4067">
        <w:t xml:space="preserve">, including all Queensland Audit Office audit recommendations. </w:t>
      </w:r>
    </w:p>
    <w:p w14:paraId="60950CB6" w14:textId="71A9AE77" w:rsidR="009D2125" w:rsidRDefault="009D2125" w:rsidP="00FC4067">
      <w:pPr>
        <w:shd w:val="clear" w:color="auto" w:fill="FFFFFF" w:themeFill="background1"/>
      </w:pPr>
      <w:r w:rsidRPr="00FC4067">
        <w:t xml:space="preserve">The </w:t>
      </w:r>
      <w:r w:rsidR="00CB38CB" w:rsidRPr="00FC4067">
        <w:t>c</w:t>
      </w:r>
      <w:r w:rsidRPr="00FC4067">
        <w:t>ommittee charter sets out the authority, responsibilities, membership and the operation</w:t>
      </w:r>
      <w:r w:rsidR="007A00DB" w:rsidRPr="00FC4067">
        <w:t>s</w:t>
      </w:r>
      <w:r w:rsidRPr="00FC4067">
        <w:t xml:space="preserve"> of</w:t>
      </w:r>
      <w:r w:rsidR="008D64AB" w:rsidRPr="00FC4067">
        <w:t xml:space="preserve"> </w:t>
      </w:r>
      <w:r w:rsidRPr="00FC4067">
        <w:t>the committee. The charter has been prepared</w:t>
      </w:r>
      <w:r w:rsidR="00CB38CB" w:rsidRPr="00FC4067">
        <w:t xml:space="preserve"> having regard to </w:t>
      </w:r>
      <w:r w:rsidRPr="00FC4067">
        <w:t xml:space="preserve">the Audit Committee Guidelines issued by Queensland Treasury in December 2009, and relevant provisions of the </w:t>
      </w:r>
      <w:r w:rsidRPr="00FC4067">
        <w:rPr>
          <w:i/>
          <w:iCs/>
        </w:rPr>
        <w:t>Financial and Performance Management Standard</w:t>
      </w:r>
      <w:r w:rsidR="008D64AB" w:rsidRPr="00FC4067">
        <w:rPr>
          <w:i/>
          <w:iCs/>
        </w:rPr>
        <w:t xml:space="preserve"> </w:t>
      </w:r>
      <w:r w:rsidRPr="00FC4067">
        <w:rPr>
          <w:i/>
          <w:iCs/>
        </w:rPr>
        <w:t>2009</w:t>
      </w:r>
      <w:r w:rsidRPr="00FC4067">
        <w:t xml:space="preserve">. The committee observed the terms of its charter during </w:t>
      </w:r>
      <w:r w:rsidR="008D64AB" w:rsidRPr="00FC4067">
        <w:t>2016–17</w:t>
      </w:r>
      <w:r w:rsidRPr="00FC4067">
        <w:t>.</w:t>
      </w:r>
    </w:p>
    <w:p w14:paraId="6DDB0014" w14:textId="77777777" w:rsidR="009D2125" w:rsidRPr="00FC4067" w:rsidRDefault="009D2125" w:rsidP="00FC4067">
      <w:pPr>
        <w:shd w:val="clear" w:color="auto" w:fill="FFFFFF" w:themeFill="background1"/>
      </w:pPr>
      <w:r w:rsidRPr="00FC4067">
        <w:rPr>
          <w:rStyle w:val="OfficelocationsheadingsChar"/>
        </w:rPr>
        <w:t>Chair:</w:t>
      </w:r>
      <w:r w:rsidRPr="00FC4067">
        <w:t xml:space="preserve"> Eric Muir FCPA (External Member)</w:t>
      </w:r>
    </w:p>
    <w:p w14:paraId="059EEA1E" w14:textId="77777777" w:rsidR="009D2125" w:rsidRPr="00FC4067" w:rsidRDefault="009D2125" w:rsidP="00FC4067">
      <w:pPr>
        <w:pStyle w:val="Officelocationsheadings"/>
        <w:shd w:val="clear" w:color="auto" w:fill="FFFFFF" w:themeFill="background1"/>
      </w:pPr>
      <w:r w:rsidRPr="00FC4067">
        <w:t>Internal members:</w:t>
      </w:r>
    </w:p>
    <w:p w14:paraId="3C883546" w14:textId="44E3CD6D" w:rsidR="009D2125" w:rsidRPr="00FC4067" w:rsidRDefault="007F3B7E" w:rsidP="00096C6C">
      <w:pPr>
        <w:pStyle w:val="Bullets"/>
      </w:pPr>
      <w:r w:rsidRPr="00FC4067">
        <w:t>General Manager</w:t>
      </w:r>
      <w:r w:rsidR="009D2125" w:rsidRPr="00FC4067">
        <w:t xml:space="preserve">, </w:t>
      </w:r>
      <w:r w:rsidRPr="00FC4067">
        <w:t>Strategy, Policy and Programs</w:t>
      </w:r>
      <w:r w:rsidR="009D2125" w:rsidRPr="00FC4067">
        <w:t>, Housing and Homelessness Services</w:t>
      </w:r>
    </w:p>
    <w:p w14:paraId="507096FF" w14:textId="1B6526BD" w:rsidR="009D2125" w:rsidRPr="00FC4067" w:rsidRDefault="009D2125" w:rsidP="00096C6C">
      <w:pPr>
        <w:pStyle w:val="Bullets"/>
      </w:pPr>
      <w:r w:rsidRPr="00FC4067">
        <w:t xml:space="preserve">Executive Director, Government Employee Housing, </w:t>
      </w:r>
      <w:r w:rsidR="00EB3839" w:rsidRPr="00FC4067">
        <w:t>Public Works and Asset Management</w:t>
      </w:r>
    </w:p>
    <w:p w14:paraId="0A5D82F1" w14:textId="40454E35" w:rsidR="009D2125" w:rsidRPr="00FC4067" w:rsidRDefault="009D2125" w:rsidP="00FC4067">
      <w:pPr>
        <w:pStyle w:val="Officelocationsheadings"/>
        <w:shd w:val="clear" w:color="auto" w:fill="FFFFFF" w:themeFill="background1"/>
        <w:rPr>
          <w:rFonts w:cs="Arial"/>
        </w:rPr>
      </w:pPr>
      <w:r w:rsidRPr="00FC4067">
        <w:rPr>
          <w:w w:val="95"/>
        </w:rPr>
        <w:t>External</w:t>
      </w:r>
      <w:r w:rsidRPr="00FC4067">
        <w:t xml:space="preserve"> </w:t>
      </w:r>
      <w:r w:rsidRPr="00FC4067">
        <w:rPr>
          <w:spacing w:val="-3"/>
          <w:w w:val="95"/>
        </w:rPr>
        <w:t>member:</w:t>
      </w:r>
    </w:p>
    <w:p w14:paraId="407503E9" w14:textId="77777777" w:rsidR="009D2125" w:rsidRPr="00FC4067" w:rsidRDefault="009D2125" w:rsidP="00096C6C">
      <w:pPr>
        <w:pStyle w:val="Bullets"/>
        <w:rPr>
          <w:rFonts w:eastAsia="Arial" w:cs="Arial"/>
        </w:rPr>
      </w:pPr>
      <w:r w:rsidRPr="00FC4067">
        <w:t xml:space="preserve">Neil Jackson </w:t>
      </w:r>
      <w:r w:rsidRPr="00FC4067">
        <w:rPr>
          <w:spacing w:val="-5"/>
        </w:rPr>
        <w:t>FCPA</w:t>
      </w:r>
    </w:p>
    <w:p w14:paraId="6423C980" w14:textId="1E7A45EF" w:rsidR="009D2125" w:rsidRPr="00FC4067" w:rsidRDefault="009D2125" w:rsidP="00FC4067">
      <w:pPr>
        <w:pStyle w:val="Officelocationsheadings"/>
        <w:shd w:val="clear" w:color="auto" w:fill="FFFFFF" w:themeFill="background1"/>
      </w:pPr>
      <w:r w:rsidRPr="00FC4067">
        <w:rPr>
          <w:w w:val="95"/>
        </w:rPr>
        <w:t xml:space="preserve">Past </w:t>
      </w:r>
      <w:r w:rsidRPr="00FC4067">
        <w:rPr>
          <w:spacing w:val="-3"/>
          <w:w w:val="95"/>
        </w:rPr>
        <w:t>member</w:t>
      </w:r>
      <w:r w:rsidRPr="00FC4067">
        <w:t xml:space="preserve"> </w:t>
      </w:r>
      <w:r w:rsidR="00281D5B" w:rsidRPr="00FC4067">
        <w:rPr>
          <w:w w:val="95"/>
        </w:rPr>
        <w:t>2016–17</w:t>
      </w:r>
      <w:r w:rsidRPr="00FC4067">
        <w:t>:</w:t>
      </w:r>
    </w:p>
    <w:p w14:paraId="4BF614C2" w14:textId="49867BE6" w:rsidR="009D2125" w:rsidRPr="00FC4067" w:rsidRDefault="009D2125" w:rsidP="00096C6C">
      <w:pPr>
        <w:pStyle w:val="Bullets"/>
        <w:rPr>
          <w:rFonts w:eastAsia="Arial" w:cs="Arial"/>
        </w:rPr>
      </w:pPr>
      <w:r w:rsidRPr="00FC4067">
        <w:t>Executive Director,</w:t>
      </w:r>
      <w:r w:rsidR="007F3B7E" w:rsidRPr="00FC4067">
        <w:t xml:space="preserve"> Contract and Delivery Management</w:t>
      </w:r>
      <w:r w:rsidRPr="00FC4067">
        <w:t xml:space="preserve">, </w:t>
      </w:r>
      <w:r w:rsidRPr="00FC4067">
        <w:rPr>
          <w:w w:val="95"/>
        </w:rPr>
        <w:t>Housing</w:t>
      </w:r>
      <w:r w:rsidRPr="00FC4067">
        <w:t xml:space="preserve"> and Homelessness Services</w:t>
      </w:r>
    </w:p>
    <w:p w14:paraId="738E548F" w14:textId="77777777" w:rsidR="00EE0941" w:rsidRPr="00FC4067" w:rsidRDefault="00EE0941" w:rsidP="00FC4067">
      <w:pPr>
        <w:shd w:val="clear" w:color="auto" w:fill="FFFFFF" w:themeFill="background1"/>
      </w:pPr>
    </w:p>
    <w:p w14:paraId="2EA3A550" w14:textId="4FD683E2" w:rsidR="00281D5B" w:rsidRPr="00FC4067" w:rsidDel="0054315D" w:rsidRDefault="00281D5B" w:rsidP="00FC4067">
      <w:pPr>
        <w:shd w:val="clear" w:color="auto" w:fill="FFFFFF" w:themeFill="background1"/>
      </w:pPr>
      <w:r w:rsidRPr="00FC4067" w:rsidDel="0054315D">
        <w:t xml:space="preserve">In 2016–17, the </w:t>
      </w:r>
      <w:r w:rsidR="00C944B2" w:rsidRPr="00FC4067">
        <w:t>Audit and Risk</w:t>
      </w:r>
      <w:r w:rsidRPr="00FC4067" w:rsidDel="0054315D">
        <w:t xml:space="preserve"> Committee:</w:t>
      </w:r>
    </w:p>
    <w:p w14:paraId="7963DFC2" w14:textId="2ED77E05" w:rsidR="00C944B2" w:rsidRPr="00FC4067" w:rsidRDefault="00C944B2" w:rsidP="00DC4782">
      <w:pPr>
        <w:pStyle w:val="ListParagraph"/>
        <w:numPr>
          <w:ilvl w:val="0"/>
          <w:numId w:val="3"/>
        </w:numPr>
        <w:shd w:val="clear" w:color="auto" w:fill="FFFFFF" w:themeFill="background1"/>
      </w:pPr>
      <w:r w:rsidRPr="00FC4067">
        <w:t xml:space="preserve">considered, discussed and endorsed the annual financial statements </w:t>
      </w:r>
      <w:r w:rsidR="000C39C3" w:rsidRPr="00FC4067">
        <w:t>2015–16</w:t>
      </w:r>
    </w:p>
    <w:p w14:paraId="078C1FDF" w14:textId="54389172" w:rsidR="00C944B2" w:rsidRPr="00FC4067" w:rsidRDefault="00C944B2" w:rsidP="00DC4782">
      <w:pPr>
        <w:pStyle w:val="ListParagraph"/>
        <w:numPr>
          <w:ilvl w:val="0"/>
          <w:numId w:val="3"/>
        </w:numPr>
        <w:shd w:val="clear" w:color="auto" w:fill="FFFFFF" w:themeFill="background1"/>
      </w:pPr>
      <w:r w:rsidRPr="00FC4067">
        <w:t xml:space="preserve">received updates and considered </w:t>
      </w:r>
      <w:r w:rsidR="009B3BF5" w:rsidRPr="00FC4067">
        <w:t xml:space="preserve">the management of </w:t>
      </w:r>
      <w:r w:rsidRPr="00FC4067">
        <w:t xml:space="preserve">risk in the department through presentation of key departmental risks and demonstration of </w:t>
      </w:r>
      <w:r w:rsidR="009B3BF5" w:rsidRPr="00FC4067">
        <w:t>the department</w:t>
      </w:r>
      <w:r w:rsidR="00444D02" w:rsidRPr="00FC4067">
        <w:t>’</w:t>
      </w:r>
      <w:r w:rsidR="009B3BF5" w:rsidRPr="00FC4067">
        <w:t xml:space="preserve">s </w:t>
      </w:r>
      <w:r w:rsidRPr="00FC4067">
        <w:t xml:space="preserve">risk management </w:t>
      </w:r>
      <w:r w:rsidR="009B3BF5" w:rsidRPr="00FC4067">
        <w:t>framework</w:t>
      </w:r>
    </w:p>
    <w:p w14:paraId="25AF745F" w14:textId="646C3336" w:rsidR="00C944B2" w:rsidRPr="00FC4067" w:rsidRDefault="00C944B2" w:rsidP="00DC4782">
      <w:pPr>
        <w:pStyle w:val="ListParagraph"/>
        <w:numPr>
          <w:ilvl w:val="0"/>
          <w:numId w:val="3"/>
        </w:numPr>
        <w:shd w:val="clear" w:color="auto" w:fill="FFFFFF" w:themeFill="background1"/>
      </w:pPr>
      <w:r w:rsidRPr="00FC4067">
        <w:t>endorsed the internal audit charter as well as the strategic and annual internal audit plans for approval by the D</w:t>
      </w:r>
      <w:r w:rsidR="00857971" w:rsidRPr="00FC4067">
        <w:t>irector-</w:t>
      </w:r>
      <w:r w:rsidRPr="00FC4067">
        <w:t>G</w:t>
      </w:r>
      <w:r w:rsidR="00857971" w:rsidRPr="00FC4067">
        <w:t>eneral</w:t>
      </w:r>
    </w:p>
    <w:p w14:paraId="5710297E" w14:textId="692780E3" w:rsidR="00C944B2" w:rsidRPr="00FC4067" w:rsidRDefault="00C944B2" w:rsidP="00DC4782">
      <w:pPr>
        <w:pStyle w:val="ListParagraph"/>
        <w:numPr>
          <w:ilvl w:val="0"/>
          <w:numId w:val="3"/>
        </w:numPr>
        <w:shd w:val="clear" w:color="auto" w:fill="FFFFFF" w:themeFill="background1"/>
      </w:pPr>
      <w:r w:rsidRPr="00FC4067">
        <w:t>endorsed the committee charter and workplan</w:t>
      </w:r>
    </w:p>
    <w:p w14:paraId="22149D78" w14:textId="279BBABA" w:rsidR="00C944B2" w:rsidRPr="00FC4067" w:rsidRDefault="00C944B2" w:rsidP="00DC4782">
      <w:pPr>
        <w:pStyle w:val="ListParagraph"/>
        <w:numPr>
          <w:ilvl w:val="0"/>
          <w:numId w:val="3"/>
        </w:numPr>
        <w:shd w:val="clear" w:color="auto" w:fill="FFFFFF" w:themeFill="background1"/>
      </w:pPr>
      <w:r w:rsidRPr="00FC4067">
        <w:t>considered the client strategy, plan and fees proposed by the Queensland Audit Office</w:t>
      </w:r>
    </w:p>
    <w:p w14:paraId="6B6B5825" w14:textId="77777777" w:rsidR="006701D1" w:rsidRPr="00FC4067" w:rsidRDefault="006701D1" w:rsidP="00DC4782">
      <w:pPr>
        <w:pStyle w:val="ListParagraph"/>
        <w:numPr>
          <w:ilvl w:val="0"/>
          <w:numId w:val="3"/>
        </w:numPr>
        <w:shd w:val="clear" w:color="auto" w:fill="FFFFFF" w:themeFill="background1"/>
      </w:pPr>
      <w:r w:rsidRPr="00FC4067">
        <w:t>considered Queensland Audit Office reports and associated recommendations and application to the department</w:t>
      </w:r>
    </w:p>
    <w:p w14:paraId="0BE9BE24" w14:textId="6F88BA98" w:rsidR="00C944B2" w:rsidRPr="00FC4067" w:rsidRDefault="00C944B2" w:rsidP="00DC4782">
      <w:pPr>
        <w:pStyle w:val="ListParagraph"/>
        <w:numPr>
          <w:ilvl w:val="0"/>
          <w:numId w:val="3"/>
        </w:numPr>
        <w:shd w:val="clear" w:color="auto" w:fill="FFFFFF" w:themeFill="background1"/>
      </w:pPr>
      <w:r w:rsidRPr="00FC4067">
        <w:t>updated the D</w:t>
      </w:r>
      <w:r w:rsidR="00857971" w:rsidRPr="00FC4067">
        <w:t>irector-</w:t>
      </w:r>
      <w:r w:rsidRPr="00FC4067">
        <w:t>G</w:t>
      </w:r>
      <w:r w:rsidR="00857971" w:rsidRPr="00FC4067">
        <w:t>eneral</w:t>
      </w:r>
      <w:r w:rsidRPr="00FC4067">
        <w:t xml:space="preserve"> on relevant matters, opinions, decisions and recommendations made by the committee</w:t>
      </w:r>
    </w:p>
    <w:p w14:paraId="213031BD" w14:textId="73E3859C" w:rsidR="00C944B2" w:rsidRPr="00FC4067" w:rsidRDefault="00C944B2" w:rsidP="00DC4782">
      <w:pPr>
        <w:pStyle w:val="ListParagraph"/>
        <w:numPr>
          <w:ilvl w:val="0"/>
          <w:numId w:val="3"/>
        </w:numPr>
        <w:shd w:val="clear" w:color="auto" w:fill="FFFFFF" w:themeFill="background1"/>
      </w:pPr>
      <w:r w:rsidRPr="00FC4067">
        <w:t>assessed the effectiveness of the internal audit function</w:t>
      </w:r>
    </w:p>
    <w:p w14:paraId="50F0DE26" w14:textId="3E4001FF" w:rsidR="00C944B2" w:rsidRPr="00FC4067" w:rsidRDefault="00C944B2" w:rsidP="00DC4782">
      <w:pPr>
        <w:pStyle w:val="ListParagraph"/>
        <w:numPr>
          <w:ilvl w:val="0"/>
          <w:numId w:val="3"/>
        </w:numPr>
        <w:shd w:val="clear" w:color="auto" w:fill="FFFFFF" w:themeFill="background1"/>
      </w:pPr>
      <w:r w:rsidRPr="00FC4067">
        <w:lastRenderedPageBreak/>
        <w:t>performed a self-assessment on the effectiveness of the committee</w:t>
      </w:r>
    </w:p>
    <w:p w14:paraId="5709A895" w14:textId="5F26ACA8" w:rsidR="00281D5B" w:rsidRPr="00FC4067" w:rsidDel="0054315D" w:rsidRDefault="00C944B2" w:rsidP="00DC4782">
      <w:pPr>
        <w:pStyle w:val="ListParagraph"/>
        <w:numPr>
          <w:ilvl w:val="0"/>
          <w:numId w:val="3"/>
        </w:numPr>
        <w:shd w:val="clear" w:color="auto" w:fill="FFFFFF" w:themeFill="background1"/>
      </w:pPr>
      <w:r w:rsidRPr="00FC4067">
        <w:t>approved the closure of internal and external recommendations</w:t>
      </w:r>
      <w:r w:rsidR="00857971" w:rsidRPr="00FC4067">
        <w:t>.</w:t>
      </w:r>
    </w:p>
    <w:p w14:paraId="3A87277A" w14:textId="6CCDE409" w:rsidR="009D2125" w:rsidRPr="00FC4067" w:rsidRDefault="009D2125" w:rsidP="00FC4067">
      <w:pPr>
        <w:shd w:val="clear" w:color="auto" w:fill="FFFFFF" w:themeFill="background1"/>
      </w:pPr>
      <w:r w:rsidRPr="00FC4067">
        <w:t xml:space="preserve">The Audit and Risk Committee met on </w:t>
      </w:r>
      <w:r w:rsidR="00E818E3" w:rsidRPr="00FC4067">
        <w:t xml:space="preserve">five </w:t>
      </w:r>
      <w:r w:rsidRPr="00FC4067">
        <w:t xml:space="preserve">occasions during </w:t>
      </w:r>
      <w:r w:rsidR="008D64AB" w:rsidRPr="00FC4067">
        <w:t>2016–17</w:t>
      </w:r>
      <w:r w:rsidRPr="00FC4067">
        <w:t>.</w:t>
      </w:r>
    </w:p>
    <w:p w14:paraId="6E02345B" w14:textId="39CC7D98" w:rsidR="009D2125" w:rsidRPr="00FC4067" w:rsidRDefault="009D2125" w:rsidP="00FC4067">
      <w:pPr>
        <w:shd w:val="clear" w:color="auto" w:fill="FFFFFF" w:themeFill="background1"/>
      </w:pPr>
      <w:r w:rsidRPr="00FC4067">
        <w:t>Remuneration was paid to the two external members, Eric Muir ($</w:t>
      </w:r>
      <w:r w:rsidR="00CE0C8D" w:rsidRPr="00FC4067">
        <w:t>9,790</w:t>
      </w:r>
      <w:r w:rsidRPr="00FC4067">
        <w:t>) and Neil Jackson ($</w:t>
      </w:r>
      <w:r w:rsidR="00CE0C8D" w:rsidRPr="00FC4067">
        <w:t>8,033</w:t>
      </w:r>
      <w:r w:rsidRPr="00FC4067">
        <w:t>).</w:t>
      </w:r>
    </w:p>
    <w:bookmarkEnd w:id="42"/>
    <w:p w14:paraId="28194E22" w14:textId="77777777" w:rsidR="009D2125" w:rsidRPr="00FC4067" w:rsidRDefault="009D2125" w:rsidP="00792F33">
      <w:pPr>
        <w:pStyle w:val="Heading3"/>
      </w:pPr>
      <w:r w:rsidRPr="00FC4067">
        <w:t>Information Steering Committee</w:t>
      </w:r>
    </w:p>
    <w:p w14:paraId="7A2CA562" w14:textId="1C0A5757" w:rsidR="00F90F33" w:rsidRPr="00FC4067" w:rsidRDefault="00F90F33" w:rsidP="00FC4067">
      <w:pPr>
        <w:shd w:val="clear" w:color="auto" w:fill="FFFFFF" w:themeFill="background1"/>
      </w:pPr>
      <w:r w:rsidRPr="00FC4067">
        <w:t xml:space="preserve">The Information Steering Committee ensures the department maximises the value of its business investments that have an information communication technology-enabled component, and supports the efficient operation of the department's business areas while also aligning with </w:t>
      </w:r>
      <w:r w:rsidR="00492F1C" w:rsidRPr="00FC4067">
        <w:t>whole-of-government</w:t>
      </w:r>
      <w:r w:rsidRPr="00FC4067">
        <w:t xml:space="preserve"> and departmental information communication technology strategies and objectives.</w:t>
      </w:r>
    </w:p>
    <w:p w14:paraId="53D0846E" w14:textId="364E5B1E" w:rsidR="009D2125" w:rsidRPr="00FC4067" w:rsidRDefault="009D2125" w:rsidP="00FC4067">
      <w:pPr>
        <w:pStyle w:val="Officelocationsheadings"/>
        <w:shd w:val="clear" w:color="auto" w:fill="FFFFFF" w:themeFill="background1"/>
      </w:pPr>
      <w:r w:rsidRPr="00FC4067">
        <w:t>Chair: Assistant Director-General, Corporate Services</w:t>
      </w:r>
    </w:p>
    <w:p w14:paraId="01756514" w14:textId="77777777" w:rsidR="009D2125" w:rsidRPr="00FC4067" w:rsidRDefault="009D2125" w:rsidP="00FC4067">
      <w:pPr>
        <w:pStyle w:val="Officelocationsheadings"/>
        <w:shd w:val="clear" w:color="auto" w:fill="FFFFFF" w:themeFill="background1"/>
      </w:pPr>
      <w:r w:rsidRPr="00FC4067">
        <w:t>Members:</w:t>
      </w:r>
    </w:p>
    <w:p w14:paraId="0FB36013" w14:textId="77777777" w:rsidR="009D2125" w:rsidRPr="00FC4067" w:rsidRDefault="009D2125" w:rsidP="00096C6C">
      <w:pPr>
        <w:pStyle w:val="Bullets"/>
      </w:pPr>
      <w:r w:rsidRPr="00FC4067">
        <w:t>Deputy Director-General, Housing and Homelessness Services</w:t>
      </w:r>
    </w:p>
    <w:p w14:paraId="6F796808" w14:textId="4CA49972" w:rsidR="009D2125" w:rsidRPr="00FC4067" w:rsidRDefault="009D2125" w:rsidP="00096C6C">
      <w:pPr>
        <w:pStyle w:val="Bullets"/>
      </w:pPr>
      <w:r w:rsidRPr="00FC4067">
        <w:t xml:space="preserve">Deputy Director-General, </w:t>
      </w:r>
      <w:r w:rsidR="00F90F33" w:rsidRPr="00FC4067">
        <w:t>Public Works and Asset Management</w:t>
      </w:r>
    </w:p>
    <w:p w14:paraId="48528090" w14:textId="77777777" w:rsidR="009D2125" w:rsidRPr="00FC4067" w:rsidRDefault="009D2125" w:rsidP="00096C6C">
      <w:pPr>
        <w:pStyle w:val="Bullets"/>
      </w:pPr>
      <w:r w:rsidRPr="00FC4067">
        <w:t>Assistant Director-General, Building Industry and Policy</w:t>
      </w:r>
    </w:p>
    <w:p w14:paraId="201AE3E3" w14:textId="2567B5A5" w:rsidR="009D2125" w:rsidRPr="00FC4067" w:rsidRDefault="009D2125" w:rsidP="00096C6C">
      <w:pPr>
        <w:pStyle w:val="Bullets"/>
      </w:pPr>
      <w:r w:rsidRPr="00FC4067">
        <w:t>Assistant Director-General,</w:t>
      </w:r>
      <w:r w:rsidR="00F90F33" w:rsidRPr="00FC4067">
        <w:t xml:space="preserve"> Queensland Government Procurement</w:t>
      </w:r>
    </w:p>
    <w:p w14:paraId="42A5518F" w14:textId="589E1F6D" w:rsidR="009D2125" w:rsidRPr="00FC4067" w:rsidRDefault="009D2125" w:rsidP="00D675BC">
      <w:pPr>
        <w:pStyle w:val="Bullets"/>
      </w:pPr>
      <w:r w:rsidRPr="00FC4067">
        <w:t>Chief Information Officer</w:t>
      </w:r>
      <w:r w:rsidR="0072229E" w:rsidRPr="00FC4067">
        <w:t>, Corporate Services</w:t>
      </w:r>
    </w:p>
    <w:p w14:paraId="5B36A979" w14:textId="085F4E5C" w:rsidR="009D2125" w:rsidRPr="00FC4067" w:rsidRDefault="009D2125" w:rsidP="00E05961">
      <w:pPr>
        <w:pStyle w:val="Bullets"/>
      </w:pPr>
      <w:r w:rsidRPr="00FC4067">
        <w:t>Chief Finance Officer</w:t>
      </w:r>
      <w:r w:rsidR="0072229E" w:rsidRPr="00FC4067">
        <w:t>, Corporate Services</w:t>
      </w:r>
    </w:p>
    <w:p w14:paraId="5B106E95" w14:textId="49DF71F7" w:rsidR="009D2125" w:rsidRPr="00FC4067" w:rsidRDefault="009D2125">
      <w:pPr>
        <w:pStyle w:val="Bullets"/>
      </w:pPr>
      <w:r w:rsidRPr="00FC4067">
        <w:t>Queensland Government Chief Information Officer representative</w:t>
      </w:r>
    </w:p>
    <w:p w14:paraId="206F2BFD" w14:textId="77777777" w:rsidR="009D2125" w:rsidRPr="00FC4067" w:rsidRDefault="009D2125" w:rsidP="00FC4067">
      <w:pPr>
        <w:pStyle w:val="Officelocationsheadings"/>
        <w:shd w:val="clear" w:color="auto" w:fill="FFFFFF" w:themeFill="background1"/>
      </w:pPr>
      <w:r w:rsidRPr="00FC4067">
        <w:t>Observer:</w:t>
      </w:r>
    </w:p>
    <w:p w14:paraId="63F744ED" w14:textId="77777777" w:rsidR="009D2125" w:rsidRPr="00FC4067" w:rsidRDefault="009D2125" w:rsidP="00096C6C">
      <w:pPr>
        <w:pStyle w:val="Bullets"/>
      </w:pPr>
      <w:r w:rsidRPr="00FC4067">
        <w:t>Director, Internal Audit</w:t>
      </w:r>
    </w:p>
    <w:p w14:paraId="201C24E5" w14:textId="77777777" w:rsidR="009D2125" w:rsidRPr="00FC4067" w:rsidRDefault="009D2125" w:rsidP="00FC4067">
      <w:pPr>
        <w:pStyle w:val="Officelocationsheadings"/>
        <w:shd w:val="clear" w:color="auto" w:fill="FFFFFF" w:themeFill="background1"/>
      </w:pPr>
      <w:r w:rsidRPr="00FC4067">
        <w:t>External Member:</w:t>
      </w:r>
    </w:p>
    <w:p w14:paraId="72C03523" w14:textId="4BDB86B6" w:rsidR="009D2125" w:rsidRPr="00FC4067" w:rsidRDefault="009D2125" w:rsidP="00096C6C">
      <w:pPr>
        <w:pStyle w:val="Bullets"/>
      </w:pPr>
      <w:r w:rsidRPr="00FC4067">
        <w:t>Marcus Darbyshire, Gartner</w:t>
      </w:r>
    </w:p>
    <w:p w14:paraId="7544DB79" w14:textId="77777777" w:rsidR="00960CC5" w:rsidRPr="00FC4067" w:rsidRDefault="00960CC5" w:rsidP="00FC4067">
      <w:pPr>
        <w:shd w:val="clear" w:color="auto" w:fill="FFFFFF" w:themeFill="background1"/>
      </w:pPr>
    </w:p>
    <w:p w14:paraId="2FF858BD" w14:textId="79266DA0" w:rsidR="009D2125" w:rsidRPr="00FC4067" w:rsidRDefault="009D2125" w:rsidP="00FC4067">
      <w:pPr>
        <w:shd w:val="clear" w:color="auto" w:fill="FFFFFF" w:themeFill="background1"/>
      </w:pPr>
      <w:r w:rsidRPr="00FC4067">
        <w:t>In 201</w:t>
      </w:r>
      <w:r w:rsidR="006C4810" w:rsidRPr="00FC4067">
        <w:t>6–17</w:t>
      </w:r>
      <w:r w:rsidRPr="00FC4067">
        <w:t>, the Information Steering Committee:</w:t>
      </w:r>
    </w:p>
    <w:p w14:paraId="04A50598" w14:textId="65485628" w:rsidR="00F90F33" w:rsidRPr="00FC4067" w:rsidRDefault="00BC6FBC" w:rsidP="00DC4782">
      <w:pPr>
        <w:pStyle w:val="ListParagraph"/>
        <w:numPr>
          <w:ilvl w:val="0"/>
          <w:numId w:val="3"/>
        </w:numPr>
        <w:shd w:val="clear" w:color="auto" w:fill="FFFFFF" w:themeFill="background1"/>
      </w:pPr>
      <w:r w:rsidRPr="00FC4067">
        <w:t>n</w:t>
      </w:r>
      <w:r w:rsidR="00F90F33" w:rsidRPr="00FC4067">
        <w:t xml:space="preserve">oted and assisted in the progress of the Future of Property and Tenancy Systems (FOPATS) </w:t>
      </w:r>
      <w:r w:rsidRPr="00FC4067">
        <w:t>p</w:t>
      </w:r>
      <w:r w:rsidR="00F90F33" w:rsidRPr="00FC4067">
        <w:t>rogram, iSpace External Hosting migration, Print-as-a</w:t>
      </w:r>
      <w:r w:rsidR="00960CC5" w:rsidRPr="00FC4067">
        <w:t>-</w:t>
      </w:r>
      <w:r w:rsidR="00F90F33" w:rsidRPr="00FC4067">
        <w:t>Service, and ServiceNow upgrade projects</w:t>
      </w:r>
      <w:r w:rsidRPr="00FC4067">
        <w:t>;</w:t>
      </w:r>
      <w:r w:rsidR="00F90F33" w:rsidRPr="00FC4067">
        <w:t xml:space="preserve"> and consideration for the ePlan room upgrade</w:t>
      </w:r>
    </w:p>
    <w:p w14:paraId="49D45C54" w14:textId="6260248A" w:rsidR="00F90F33" w:rsidRPr="00FC4067" w:rsidRDefault="00BC6FBC" w:rsidP="00DC4782">
      <w:pPr>
        <w:pStyle w:val="ListParagraph"/>
        <w:numPr>
          <w:ilvl w:val="0"/>
          <w:numId w:val="3"/>
        </w:numPr>
        <w:shd w:val="clear" w:color="auto" w:fill="FFFFFF" w:themeFill="background1"/>
      </w:pPr>
      <w:r w:rsidRPr="00FC4067">
        <w:t>n</w:t>
      </w:r>
      <w:r w:rsidR="00F90F33" w:rsidRPr="00FC4067">
        <w:t>oted the update on the ICT Strategic Plan and Cyber Security Essential Eight</w:t>
      </w:r>
    </w:p>
    <w:p w14:paraId="72E6E09F" w14:textId="40775494" w:rsidR="00F90F33" w:rsidRPr="00FC4067" w:rsidRDefault="00BC6FBC" w:rsidP="00DC4782">
      <w:pPr>
        <w:pStyle w:val="ListParagraph"/>
        <w:numPr>
          <w:ilvl w:val="0"/>
          <w:numId w:val="3"/>
        </w:numPr>
        <w:shd w:val="clear" w:color="auto" w:fill="FFFFFF" w:themeFill="background1"/>
      </w:pPr>
      <w:r w:rsidRPr="00FC4067">
        <w:t>e</w:t>
      </w:r>
      <w:r w:rsidR="00F90F33" w:rsidRPr="00FC4067">
        <w:t xml:space="preserve">ndorsed the establishment of the initial state planning project to </w:t>
      </w:r>
      <w:r w:rsidR="00D02853" w:rsidRPr="00FC4067">
        <w:t xml:space="preserve">a </w:t>
      </w:r>
      <w:r w:rsidR="00F90F33" w:rsidRPr="00FC4067">
        <w:t>deliver detailed business case and project plan to support the proposed Fleet Management System replacement project</w:t>
      </w:r>
    </w:p>
    <w:p w14:paraId="1E44395C" w14:textId="161004F8" w:rsidR="00F90F33" w:rsidRPr="00FC4067" w:rsidRDefault="00BC6FBC" w:rsidP="00DC4782">
      <w:pPr>
        <w:pStyle w:val="ListParagraph"/>
        <w:numPr>
          <w:ilvl w:val="0"/>
          <w:numId w:val="3"/>
        </w:numPr>
        <w:shd w:val="clear" w:color="auto" w:fill="FFFFFF" w:themeFill="background1"/>
      </w:pPr>
      <w:r w:rsidRPr="00FC4067">
        <w:t>e</w:t>
      </w:r>
      <w:r w:rsidR="00F90F33" w:rsidRPr="00FC4067">
        <w:t>ndorsed the Finance/Payroll and HPW key systems roadmaps</w:t>
      </w:r>
    </w:p>
    <w:p w14:paraId="3A59532B" w14:textId="44AE3959" w:rsidR="00F90F33" w:rsidRPr="00FC4067" w:rsidRDefault="00BC6FBC" w:rsidP="00DC4782">
      <w:pPr>
        <w:pStyle w:val="ListParagraph"/>
        <w:numPr>
          <w:ilvl w:val="0"/>
          <w:numId w:val="3"/>
        </w:numPr>
        <w:shd w:val="clear" w:color="auto" w:fill="FFFFFF" w:themeFill="background1"/>
      </w:pPr>
      <w:r w:rsidRPr="00FC4067">
        <w:t>e</w:t>
      </w:r>
      <w:r w:rsidR="00F90F33" w:rsidRPr="00FC4067">
        <w:t xml:space="preserve">ndorsed in </w:t>
      </w:r>
      <w:r w:rsidRPr="00FC4067">
        <w:t>principle</w:t>
      </w:r>
      <w:r w:rsidR="00F90F33" w:rsidRPr="00FC4067">
        <w:t xml:space="preserve"> the requirement to develop a data capture tool to meet the new domestic smoke alarm legislation requirements</w:t>
      </w:r>
    </w:p>
    <w:p w14:paraId="0FD85CCF" w14:textId="4886ADD8" w:rsidR="00F90F33" w:rsidRPr="00FC4067" w:rsidRDefault="00BC6FBC" w:rsidP="00DC4782">
      <w:pPr>
        <w:pStyle w:val="ListParagraph"/>
        <w:numPr>
          <w:ilvl w:val="0"/>
          <w:numId w:val="3"/>
        </w:numPr>
        <w:shd w:val="clear" w:color="auto" w:fill="FFFFFF" w:themeFill="background1"/>
      </w:pPr>
      <w:r w:rsidRPr="00FC4067">
        <w:t>e</w:t>
      </w:r>
      <w:r w:rsidR="00F90F33" w:rsidRPr="00FC4067">
        <w:t>ndorsed the HPW ICT Dashboard and the approach to data loss technology and user awareness training.</w:t>
      </w:r>
    </w:p>
    <w:p w14:paraId="378BC6AD" w14:textId="1FB1BA9E" w:rsidR="009D2125" w:rsidRPr="00FC4067" w:rsidRDefault="009D2125" w:rsidP="00792F33">
      <w:pPr>
        <w:pStyle w:val="Heading3"/>
      </w:pPr>
      <w:r w:rsidRPr="00FC4067">
        <w:t>People and Culture Committee</w:t>
      </w:r>
    </w:p>
    <w:p w14:paraId="7C981A2E" w14:textId="3E52017E" w:rsidR="00C06674" w:rsidRPr="00FC4067" w:rsidRDefault="00C06674" w:rsidP="00FC4067">
      <w:pPr>
        <w:shd w:val="clear" w:color="auto" w:fill="FFFFFF" w:themeFill="background1"/>
      </w:pPr>
      <w:r w:rsidRPr="00FC4067">
        <w:t>The People and Culture Committee advises the Director-General on human resources policy, strategies and practices to ensure compliance with relevant legislation, directives and strategic objectives within the department.</w:t>
      </w:r>
    </w:p>
    <w:p w14:paraId="72315C28" w14:textId="77777777" w:rsidR="00C06674" w:rsidRPr="00FC4067" w:rsidRDefault="00C06674" w:rsidP="00FC4067">
      <w:pPr>
        <w:shd w:val="clear" w:color="auto" w:fill="FFFFFF" w:themeFill="background1"/>
      </w:pPr>
      <w:r w:rsidRPr="00FC4067">
        <w:rPr>
          <w:rStyle w:val="HeadingStyle3Char"/>
          <w:color w:val="000000" w:themeColor="text1"/>
        </w:rPr>
        <w:t>Chair:</w:t>
      </w:r>
      <w:r w:rsidRPr="00FC4067">
        <w:t xml:space="preserve"> Executive Director, Human Resources</w:t>
      </w:r>
    </w:p>
    <w:p w14:paraId="6AA957B3" w14:textId="77777777" w:rsidR="00C06674" w:rsidRPr="00FC4067" w:rsidRDefault="00C06674" w:rsidP="00FC4067">
      <w:pPr>
        <w:pStyle w:val="HeadingStyle3"/>
        <w:shd w:val="clear" w:color="auto" w:fill="FFFFFF" w:themeFill="background1"/>
      </w:pPr>
      <w:r w:rsidRPr="00FC4067">
        <w:t>Members:</w:t>
      </w:r>
    </w:p>
    <w:p w14:paraId="7D9660E4" w14:textId="77777777" w:rsidR="00C06674" w:rsidRPr="00FC4067" w:rsidRDefault="00C06674" w:rsidP="00096C6C">
      <w:pPr>
        <w:pStyle w:val="Bullets"/>
      </w:pPr>
      <w:r w:rsidRPr="00FC4067">
        <w:t xml:space="preserve">Executive Director, State-Wide Operations, Building and Asset Services, Public Works and Asset Management </w:t>
      </w:r>
    </w:p>
    <w:p w14:paraId="0D0FF621" w14:textId="77777777" w:rsidR="00C06674" w:rsidRPr="00FC4067" w:rsidRDefault="00C06674" w:rsidP="00096C6C">
      <w:pPr>
        <w:pStyle w:val="Bullets"/>
      </w:pPr>
      <w:r w:rsidRPr="00FC4067">
        <w:t>Executive Director, Customer Relationships and Program Management, Building and Asset Services, Public Works and Asset Management</w:t>
      </w:r>
    </w:p>
    <w:p w14:paraId="386207A9" w14:textId="77777777" w:rsidR="00C06674" w:rsidRPr="00FC4067" w:rsidRDefault="00C06674" w:rsidP="00096C6C">
      <w:pPr>
        <w:pStyle w:val="Bullets"/>
      </w:pPr>
      <w:r w:rsidRPr="00FC4067">
        <w:t>Client Account Manager, Government Employee Housing, Public Works and Asset Management</w:t>
      </w:r>
    </w:p>
    <w:p w14:paraId="23CCB6A9" w14:textId="77777777" w:rsidR="00C06674" w:rsidRPr="00FC4067" w:rsidRDefault="00C06674" w:rsidP="00096C6C">
      <w:pPr>
        <w:pStyle w:val="Bullets"/>
      </w:pPr>
      <w:r w:rsidRPr="00FC4067">
        <w:lastRenderedPageBreak/>
        <w:t>Manager, Chermside Housing Service Centre, Housing and Homelessness Services</w:t>
      </w:r>
    </w:p>
    <w:p w14:paraId="7F884A2E" w14:textId="77777777" w:rsidR="00C06674" w:rsidRPr="00FC4067" w:rsidRDefault="00C06674" w:rsidP="00096C6C">
      <w:pPr>
        <w:pStyle w:val="Bullets"/>
      </w:pPr>
      <w:r w:rsidRPr="00FC4067">
        <w:t>Manager, Building Industry and Policy</w:t>
      </w:r>
    </w:p>
    <w:p w14:paraId="2A92D048" w14:textId="77777777" w:rsidR="00C06674" w:rsidRPr="00FC4067" w:rsidRDefault="00C06674" w:rsidP="00D675BC">
      <w:pPr>
        <w:pStyle w:val="Bullets"/>
      </w:pPr>
      <w:r w:rsidRPr="00FC4067">
        <w:t>Manager, Workforce Capability, Human Resources, Corporate Services</w:t>
      </w:r>
    </w:p>
    <w:p w14:paraId="6EFA02EF" w14:textId="1963679C" w:rsidR="00C06674" w:rsidRPr="00FC4067" w:rsidRDefault="00C06674" w:rsidP="00FC4067">
      <w:pPr>
        <w:shd w:val="clear" w:color="auto" w:fill="FFFFFF" w:themeFill="background1"/>
      </w:pPr>
      <w:r w:rsidRPr="00FC4067">
        <w:t xml:space="preserve">During 2016–17, the department through </w:t>
      </w:r>
      <w:r w:rsidR="00D51896" w:rsidRPr="00FC4067">
        <w:t xml:space="preserve">its </w:t>
      </w:r>
      <w:r w:rsidRPr="00FC4067">
        <w:t>People and Culture Committee:</w:t>
      </w:r>
    </w:p>
    <w:p w14:paraId="084F7ED1" w14:textId="11FFB123" w:rsidR="00C06674" w:rsidRPr="00FC4067" w:rsidRDefault="00D9441E" w:rsidP="00096C6C">
      <w:pPr>
        <w:pStyle w:val="Bullets"/>
      </w:pPr>
      <w:r w:rsidRPr="00FC4067">
        <w:t>updated</w:t>
      </w:r>
      <w:r w:rsidR="00C06674" w:rsidRPr="00FC4067">
        <w:t xml:space="preserve"> and continued </w:t>
      </w:r>
      <w:r w:rsidR="004A2220" w:rsidRPr="00FC4067">
        <w:t xml:space="preserve">the </w:t>
      </w:r>
      <w:r w:rsidR="00C06674" w:rsidRPr="00FC4067">
        <w:t xml:space="preserve">delivery of the People and Culture Strategy </w:t>
      </w:r>
    </w:p>
    <w:p w14:paraId="6CC0D24B" w14:textId="12417D79" w:rsidR="00C06674" w:rsidRPr="00FC4067" w:rsidRDefault="00C83079" w:rsidP="00096C6C">
      <w:pPr>
        <w:pStyle w:val="Bullets"/>
      </w:pPr>
      <w:r w:rsidRPr="00FC4067">
        <w:t xml:space="preserve">developed enhanced </w:t>
      </w:r>
      <w:r w:rsidR="00C06674" w:rsidRPr="00FC4067">
        <w:t xml:space="preserve">leadership capability through Managing </w:t>
      </w:r>
      <w:r w:rsidR="001C47BB" w:rsidRPr="00FC4067">
        <w:t>for</w:t>
      </w:r>
      <w:r w:rsidR="00C06674" w:rsidRPr="00FC4067">
        <w:t xml:space="preserve"> Results (M4R), Taking the Lead and Emerging Leaders Program (ELP)</w:t>
      </w:r>
    </w:p>
    <w:p w14:paraId="3C507431" w14:textId="7DAB1713" w:rsidR="00C06674" w:rsidRPr="00FC4067" w:rsidRDefault="00C83079" w:rsidP="00096C6C">
      <w:pPr>
        <w:pStyle w:val="Bullets"/>
      </w:pPr>
      <w:r w:rsidRPr="00FC4067">
        <w:t xml:space="preserve">delivered </w:t>
      </w:r>
      <w:r w:rsidR="00C06674" w:rsidRPr="00FC4067">
        <w:t>initiatives to enhance capability and provide a healthy and safe work environment</w:t>
      </w:r>
    </w:p>
    <w:p w14:paraId="758659D5" w14:textId="172D408C" w:rsidR="00C06674" w:rsidRPr="00FC4067" w:rsidRDefault="00DC6365" w:rsidP="00096C6C">
      <w:pPr>
        <w:pStyle w:val="Bullets"/>
      </w:pPr>
      <w:r w:rsidRPr="00FC4067">
        <w:t xml:space="preserve">developed </w:t>
      </w:r>
      <w:r w:rsidR="00C06674" w:rsidRPr="00FC4067">
        <w:t xml:space="preserve">and </w:t>
      </w:r>
      <w:r w:rsidRPr="00FC4067">
        <w:t xml:space="preserve">implemented </w:t>
      </w:r>
      <w:r w:rsidR="00C06674" w:rsidRPr="00FC4067">
        <w:t>a departmental graduate program</w:t>
      </w:r>
    </w:p>
    <w:p w14:paraId="3E313F02" w14:textId="3E120ACF" w:rsidR="00C06674" w:rsidRPr="00FC4067" w:rsidRDefault="00C54306" w:rsidP="00D675BC">
      <w:pPr>
        <w:pStyle w:val="Bullets"/>
      </w:pPr>
      <w:r w:rsidRPr="00FC4067">
        <w:t xml:space="preserve">promoted and </w:t>
      </w:r>
      <w:r w:rsidR="004A16EB" w:rsidRPr="00FC4067">
        <w:t xml:space="preserve">participated </w:t>
      </w:r>
      <w:r w:rsidR="00C06674" w:rsidRPr="00FC4067">
        <w:t>in the White Ribbon accreditation process.</w:t>
      </w:r>
    </w:p>
    <w:p w14:paraId="1B2E9C91" w14:textId="0EE166B3" w:rsidR="00281D5B" w:rsidRPr="00FC4067" w:rsidRDefault="00281D5B" w:rsidP="00792F33">
      <w:pPr>
        <w:pStyle w:val="Heading3"/>
      </w:pPr>
      <w:r w:rsidRPr="00FC4067">
        <w:t xml:space="preserve">Workplace Health and Safety Peak Committee </w:t>
      </w:r>
    </w:p>
    <w:p w14:paraId="454072B3" w14:textId="1B8E694A" w:rsidR="00C06674" w:rsidRPr="00FC4067" w:rsidRDefault="00C06674" w:rsidP="00FC4067">
      <w:pPr>
        <w:shd w:val="clear" w:color="auto" w:fill="FFFFFF" w:themeFill="background1"/>
      </w:pPr>
      <w:r w:rsidRPr="00FC4067">
        <w:t>The Workplace Health and Safety Peak Committee is responsible for providing effective leadership and strategic direction in relation to the operation of the department’s safety management systems, the monitoring and review of workplace health and safety performance and risk management, and the continuous improvement of the department’s safety performance and culture.</w:t>
      </w:r>
    </w:p>
    <w:p w14:paraId="547D0794" w14:textId="77777777" w:rsidR="00C06674" w:rsidRPr="00FC4067" w:rsidRDefault="00C06674" w:rsidP="00FC4067">
      <w:pPr>
        <w:shd w:val="clear" w:color="auto" w:fill="FFFFFF" w:themeFill="background1"/>
      </w:pPr>
      <w:r w:rsidRPr="00FC4067">
        <w:rPr>
          <w:rStyle w:val="OfficelocationsheadingsChar"/>
          <w:color w:val="000000" w:themeColor="text1"/>
        </w:rPr>
        <w:t>Chair:</w:t>
      </w:r>
      <w:r w:rsidRPr="00FC4067">
        <w:t xml:space="preserve">  Director-General</w:t>
      </w:r>
    </w:p>
    <w:p w14:paraId="5B98AEB4" w14:textId="77777777" w:rsidR="00C06674" w:rsidRPr="00FC4067" w:rsidRDefault="00C06674" w:rsidP="00FC4067">
      <w:pPr>
        <w:pStyle w:val="Officelocationsheadings"/>
        <w:shd w:val="clear" w:color="auto" w:fill="FFFFFF" w:themeFill="background1"/>
      </w:pPr>
      <w:r w:rsidRPr="00FC4067">
        <w:t>Members:</w:t>
      </w:r>
    </w:p>
    <w:p w14:paraId="0B73057D" w14:textId="77777777" w:rsidR="00C06674" w:rsidRPr="00FC4067" w:rsidRDefault="00C06674" w:rsidP="00096C6C">
      <w:pPr>
        <w:pStyle w:val="Bullets"/>
      </w:pPr>
      <w:r w:rsidRPr="00FC4067">
        <w:t>Deputy Director-General, Housing and Homelessness Services</w:t>
      </w:r>
    </w:p>
    <w:p w14:paraId="56A63492" w14:textId="77777777" w:rsidR="00C06674" w:rsidRPr="00FC4067" w:rsidRDefault="00C06674" w:rsidP="00096C6C">
      <w:pPr>
        <w:pStyle w:val="Bullets"/>
      </w:pPr>
      <w:r w:rsidRPr="00FC4067">
        <w:t>Deputy Director-General, Public Works and Asset Management</w:t>
      </w:r>
    </w:p>
    <w:p w14:paraId="413BACAA" w14:textId="77777777" w:rsidR="00C06674" w:rsidRPr="00FC4067" w:rsidRDefault="00C06674" w:rsidP="00096C6C">
      <w:pPr>
        <w:pStyle w:val="Bullets"/>
      </w:pPr>
      <w:r w:rsidRPr="00FC4067">
        <w:t>Assistant Director-General, Building Industry and Policy</w:t>
      </w:r>
    </w:p>
    <w:p w14:paraId="295BD79E" w14:textId="77777777" w:rsidR="00C06674" w:rsidRPr="00FC4067" w:rsidRDefault="00C06674" w:rsidP="00096C6C">
      <w:pPr>
        <w:pStyle w:val="Bullets"/>
      </w:pPr>
      <w:r w:rsidRPr="00FC4067">
        <w:t xml:space="preserve">Assistant Director-General, Queensland Government Procurement </w:t>
      </w:r>
    </w:p>
    <w:p w14:paraId="436B846B" w14:textId="77777777" w:rsidR="00C06674" w:rsidRPr="00FC4067" w:rsidRDefault="00C06674" w:rsidP="00D675BC">
      <w:pPr>
        <w:pStyle w:val="Bullets"/>
      </w:pPr>
      <w:r w:rsidRPr="00FC4067">
        <w:t>Assistant Director-General, Corporate Services</w:t>
      </w:r>
    </w:p>
    <w:p w14:paraId="0EC3C34F" w14:textId="53C5700F" w:rsidR="00C06674" w:rsidRPr="00FC4067" w:rsidRDefault="00C06674" w:rsidP="00E05961">
      <w:pPr>
        <w:pStyle w:val="Bullets"/>
      </w:pPr>
      <w:r w:rsidRPr="00FC4067">
        <w:t>Executive Director, Human Resources</w:t>
      </w:r>
      <w:r w:rsidR="0072229E" w:rsidRPr="00FC4067">
        <w:t>, Corporate Services</w:t>
      </w:r>
    </w:p>
    <w:p w14:paraId="0728574A" w14:textId="77777777" w:rsidR="00C06674" w:rsidRPr="00FC4067" w:rsidRDefault="00C06674" w:rsidP="00FC4067">
      <w:pPr>
        <w:shd w:val="clear" w:color="auto" w:fill="FFFFFF" w:themeFill="background1"/>
      </w:pPr>
    </w:p>
    <w:p w14:paraId="31A95E17" w14:textId="467D9360" w:rsidR="00C06674" w:rsidRPr="00FC4067" w:rsidRDefault="00C06674" w:rsidP="00FC4067">
      <w:pPr>
        <w:shd w:val="clear" w:color="auto" w:fill="FFFFFF" w:themeFill="background1"/>
      </w:pPr>
      <w:r w:rsidRPr="00FC4067">
        <w:t xml:space="preserve">During </w:t>
      </w:r>
      <w:r w:rsidR="000C39C3" w:rsidRPr="00FC4067">
        <w:t>2016–17</w:t>
      </w:r>
      <w:r w:rsidRPr="00FC4067">
        <w:t xml:space="preserve">, the department through its Workplace Health and Safety </w:t>
      </w:r>
      <w:r w:rsidR="00EB221B" w:rsidRPr="00FC4067">
        <w:t xml:space="preserve">Peak </w:t>
      </w:r>
      <w:r w:rsidRPr="00FC4067">
        <w:t xml:space="preserve">Committee endorsed the: </w:t>
      </w:r>
    </w:p>
    <w:p w14:paraId="498B78A3" w14:textId="77777777" w:rsidR="00C06674" w:rsidRPr="00FC4067" w:rsidRDefault="00C06674" w:rsidP="00DC4782">
      <w:pPr>
        <w:pStyle w:val="ListParagraph"/>
        <w:numPr>
          <w:ilvl w:val="0"/>
          <w:numId w:val="8"/>
        </w:numPr>
        <w:shd w:val="clear" w:color="auto" w:fill="FFFFFF" w:themeFill="background1"/>
      </w:pPr>
      <w:r w:rsidRPr="00FC4067">
        <w:t>continued delivery of the Healthy and Safe Workforce Action Plan</w:t>
      </w:r>
    </w:p>
    <w:p w14:paraId="069FEEB8" w14:textId="77777777" w:rsidR="00C06674" w:rsidRPr="00FC4067" w:rsidRDefault="00C06674" w:rsidP="00DC4782">
      <w:pPr>
        <w:pStyle w:val="ListParagraph"/>
        <w:numPr>
          <w:ilvl w:val="0"/>
          <w:numId w:val="8"/>
        </w:numPr>
        <w:shd w:val="clear" w:color="auto" w:fill="FFFFFF" w:themeFill="background1"/>
      </w:pPr>
      <w:r w:rsidRPr="00FC4067">
        <w:t>continued focus on supporting staff affected by domestic and family violence, including a commitment to obtain White Ribbon Accreditation</w:t>
      </w:r>
    </w:p>
    <w:p w14:paraId="4095B2BB" w14:textId="158A988D" w:rsidR="00C06674" w:rsidRPr="00FC4067" w:rsidRDefault="00C06674" w:rsidP="00DC4782">
      <w:pPr>
        <w:pStyle w:val="ListParagraph"/>
        <w:numPr>
          <w:ilvl w:val="0"/>
          <w:numId w:val="8"/>
        </w:numPr>
        <w:shd w:val="clear" w:color="auto" w:fill="FFFFFF" w:themeFill="background1"/>
      </w:pPr>
      <w:r w:rsidRPr="00FC4067">
        <w:t xml:space="preserve">continued delivery of the Pathways Health and Wellbeing </w:t>
      </w:r>
      <w:r w:rsidR="00FB0292">
        <w:t>P</w:t>
      </w:r>
      <w:r w:rsidRPr="00FC4067">
        <w:t>rogram</w:t>
      </w:r>
    </w:p>
    <w:p w14:paraId="49F67804" w14:textId="77777777" w:rsidR="00C06674" w:rsidRPr="00FC4067" w:rsidRDefault="00C06674" w:rsidP="00DC4782">
      <w:pPr>
        <w:pStyle w:val="ListParagraph"/>
        <w:numPr>
          <w:ilvl w:val="0"/>
          <w:numId w:val="8"/>
        </w:numPr>
        <w:shd w:val="clear" w:color="auto" w:fill="FFFFFF" w:themeFill="background1"/>
      </w:pPr>
      <w:r w:rsidRPr="00FC4067">
        <w:t>continued delivery of a mental health awareness training program</w:t>
      </w:r>
    </w:p>
    <w:p w14:paraId="7BFAD73F" w14:textId="7591387F" w:rsidR="00281D5B" w:rsidRPr="00FC4067" w:rsidRDefault="00C06674" w:rsidP="00DC4782">
      <w:pPr>
        <w:pStyle w:val="ListParagraph"/>
        <w:numPr>
          <w:ilvl w:val="0"/>
          <w:numId w:val="8"/>
        </w:numPr>
        <w:shd w:val="clear" w:color="auto" w:fill="FFFFFF" w:themeFill="background1"/>
      </w:pPr>
      <w:r w:rsidRPr="00FC4067">
        <w:t xml:space="preserve">continued focus on the provision of employee and manager support services to assist the department in managing injuries, illnesses and complex cases. </w:t>
      </w:r>
    </w:p>
    <w:p w14:paraId="41727EA2" w14:textId="69FFA255" w:rsidR="009D2125" w:rsidRPr="00FC4067" w:rsidRDefault="009D2125" w:rsidP="00792F33">
      <w:pPr>
        <w:pStyle w:val="Heading3"/>
      </w:pPr>
      <w:r w:rsidRPr="00FC4067">
        <w:rPr>
          <w:w w:val="95"/>
        </w:rPr>
        <w:t>Property</w:t>
      </w:r>
      <w:r w:rsidRPr="00FC4067">
        <w:t xml:space="preserve"> </w:t>
      </w:r>
      <w:r w:rsidRPr="00FC4067">
        <w:rPr>
          <w:w w:val="95"/>
        </w:rPr>
        <w:t>Asset</w:t>
      </w:r>
      <w:r w:rsidRPr="00FC4067">
        <w:t xml:space="preserve"> Management Committee</w:t>
      </w:r>
    </w:p>
    <w:p w14:paraId="6070D9A7" w14:textId="4778D005" w:rsidR="009D2125" w:rsidRPr="00FC4067" w:rsidRDefault="009D2125" w:rsidP="00FC4067">
      <w:pPr>
        <w:shd w:val="clear" w:color="auto" w:fill="FFFFFF" w:themeFill="background1"/>
      </w:pPr>
      <w:r w:rsidRPr="00FC4067">
        <w:t xml:space="preserve">The Property Asset Management Committee provides strategic oversight of the department’s property assets </w:t>
      </w:r>
      <w:r w:rsidR="00673BAB" w:rsidRPr="00FC4067">
        <w:t>including</w:t>
      </w:r>
      <w:r w:rsidRPr="00FC4067">
        <w:t xml:space="preserve"> acquisitions and capital works, maintenance and upgrade programs, asset disposals, and asset revaluation methodologies.</w:t>
      </w:r>
    </w:p>
    <w:p w14:paraId="645ABC79" w14:textId="70AB610F" w:rsidR="009D2125" w:rsidRPr="00FC4067" w:rsidRDefault="009D2125" w:rsidP="00FC4067">
      <w:pPr>
        <w:shd w:val="clear" w:color="auto" w:fill="FFFFFF" w:themeFill="background1"/>
      </w:pPr>
      <w:r w:rsidRPr="00FC4067">
        <w:rPr>
          <w:rStyle w:val="OfficelocationsheadingsChar"/>
        </w:rPr>
        <w:t>Chair:</w:t>
      </w:r>
      <w:r w:rsidRPr="00FC4067">
        <w:t xml:space="preserve"> </w:t>
      </w:r>
      <w:r w:rsidR="004D7AEB" w:rsidRPr="00FC4067">
        <w:t xml:space="preserve">Deputy </w:t>
      </w:r>
      <w:r w:rsidRPr="00FC4067">
        <w:t xml:space="preserve">Director-General, </w:t>
      </w:r>
      <w:r w:rsidR="00277B61" w:rsidRPr="00FC4067">
        <w:t>Public Works and Asset Management</w:t>
      </w:r>
    </w:p>
    <w:p w14:paraId="07FD61E0" w14:textId="77777777" w:rsidR="009D2125" w:rsidRPr="00FC4067" w:rsidRDefault="009D2125" w:rsidP="00FC4067">
      <w:pPr>
        <w:pStyle w:val="Officelocationsheadings"/>
        <w:shd w:val="clear" w:color="auto" w:fill="FFFFFF" w:themeFill="background1"/>
      </w:pPr>
      <w:r w:rsidRPr="00FC4067">
        <w:t>Members:</w:t>
      </w:r>
    </w:p>
    <w:p w14:paraId="6781C950" w14:textId="1265AB0A" w:rsidR="005D5E90" w:rsidRPr="00FC4067" w:rsidRDefault="005D5E90" w:rsidP="00096C6C">
      <w:pPr>
        <w:pStyle w:val="Bullets"/>
      </w:pPr>
      <w:r w:rsidRPr="00FC4067">
        <w:t xml:space="preserve">Assistant </w:t>
      </w:r>
      <w:r w:rsidR="009750BE" w:rsidRPr="00FC4067">
        <w:t>Director-General, Building Industry and Policy</w:t>
      </w:r>
    </w:p>
    <w:p w14:paraId="6DDF4AA5" w14:textId="7E9C8346" w:rsidR="009750BE" w:rsidRPr="00FC4067" w:rsidRDefault="009750BE" w:rsidP="00096C6C">
      <w:pPr>
        <w:pStyle w:val="Bullets"/>
      </w:pPr>
      <w:r w:rsidRPr="00FC4067">
        <w:t>Chief Finance Officer</w:t>
      </w:r>
      <w:r w:rsidR="0072229E" w:rsidRPr="00FC4067">
        <w:t>, Corporate Services</w:t>
      </w:r>
    </w:p>
    <w:p w14:paraId="1397CA9B" w14:textId="65B32B2C" w:rsidR="009750BE" w:rsidRPr="00FC4067" w:rsidRDefault="007C45F4" w:rsidP="00096C6C">
      <w:pPr>
        <w:pStyle w:val="Bullets"/>
      </w:pPr>
      <w:r w:rsidRPr="00FC4067">
        <w:t>Executive Dire</w:t>
      </w:r>
      <w:r w:rsidR="009336CE" w:rsidRPr="00FC4067">
        <w:t>ctor, Queensland Government Accommodation Office</w:t>
      </w:r>
    </w:p>
    <w:p w14:paraId="79815178" w14:textId="708D1FAE" w:rsidR="00827F7D" w:rsidRPr="00FC4067" w:rsidRDefault="00827F7D" w:rsidP="00096C6C">
      <w:pPr>
        <w:pStyle w:val="Bullets"/>
      </w:pPr>
      <w:r w:rsidRPr="00FC4067">
        <w:t>Executive Director, Capital and Assets, Housing and Homelessness Services</w:t>
      </w:r>
    </w:p>
    <w:p w14:paraId="5B9A35D2" w14:textId="5AEAD1AB" w:rsidR="00827F7D" w:rsidRPr="00FC4067" w:rsidRDefault="003E16D2" w:rsidP="00D675BC">
      <w:pPr>
        <w:pStyle w:val="Bullets"/>
      </w:pPr>
      <w:r w:rsidRPr="00FC4067">
        <w:t>Executive Director, Government Employee Housing</w:t>
      </w:r>
      <w:r w:rsidR="0072229E" w:rsidRPr="00FC4067">
        <w:t>, Public Works and Asset Management</w:t>
      </w:r>
    </w:p>
    <w:p w14:paraId="78B3B450" w14:textId="1B5091C0" w:rsidR="003E16D2" w:rsidRPr="00FC4067" w:rsidRDefault="003E16D2" w:rsidP="00E05961">
      <w:pPr>
        <w:pStyle w:val="Bullets"/>
      </w:pPr>
      <w:r w:rsidRPr="00FC4067">
        <w:t xml:space="preserve">Executive Director, </w:t>
      </w:r>
      <w:r w:rsidR="00D62F47" w:rsidRPr="00FC4067">
        <w:t>Building Construction and Maintenance</w:t>
      </w:r>
      <w:r w:rsidR="0072229E" w:rsidRPr="00FC4067">
        <w:t>, Building Industry and Policy</w:t>
      </w:r>
    </w:p>
    <w:p w14:paraId="3864A820" w14:textId="4D6A11EF" w:rsidR="00D62F47" w:rsidRPr="00FC4067" w:rsidRDefault="00D62F47">
      <w:pPr>
        <w:pStyle w:val="Bullets"/>
      </w:pPr>
      <w:r w:rsidRPr="00FC4067">
        <w:t>Executive Director, Building Industry and Policy</w:t>
      </w:r>
    </w:p>
    <w:p w14:paraId="630E4D2C" w14:textId="002CB245" w:rsidR="00D62F47" w:rsidRPr="00FC4067" w:rsidRDefault="00D62F47">
      <w:pPr>
        <w:pStyle w:val="Bullets"/>
      </w:pPr>
      <w:r w:rsidRPr="00FC4067">
        <w:lastRenderedPageBreak/>
        <w:t>Executive Director, Contract Services</w:t>
      </w:r>
      <w:r w:rsidR="0072229E" w:rsidRPr="00FC4067">
        <w:t>, Building Industry and Policy</w:t>
      </w:r>
    </w:p>
    <w:p w14:paraId="2E149E6A" w14:textId="68EC04A5" w:rsidR="00163362" w:rsidRPr="00FC4067" w:rsidRDefault="00163362">
      <w:pPr>
        <w:pStyle w:val="Bullets"/>
      </w:pPr>
      <w:r w:rsidRPr="00FC4067">
        <w:t>General Manager, Strategy, Policy and Programs</w:t>
      </w:r>
      <w:r w:rsidR="0072229E" w:rsidRPr="00FC4067">
        <w:t>, Housing and Homelessness Services</w:t>
      </w:r>
    </w:p>
    <w:p w14:paraId="6F7E6F33" w14:textId="77777777" w:rsidR="00C1084A" w:rsidRPr="00FC4067" w:rsidRDefault="00C1084A" w:rsidP="00FC4067">
      <w:pPr>
        <w:shd w:val="clear" w:color="auto" w:fill="FFFFFF" w:themeFill="background1"/>
      </w:pPr>
    </w:p>
    <w:p w14:paraId="4D995FCC" w14:textId="5A8B9CE5" w:rsidR="009D2125" w:rsidRPr="00FC4067" w:rsidRDefault="009D2125" w:rsidP="00FC4067">
      <w:pPr>
        <w:shd w:val="clear" w:color="auto" w:fill="FFFFFF" w:themeFill="background1"/>
      </w:pPr>
      <w:r w:rsidRPr="00FC4067">
        <w:t xml:space="preserve">In </w:t>
      </w:r>
      <w:r w:rsidR="000C39C3" w:rsidRPr="00FC4067">
        <w:t>2016–17</w:t>
      </w:r>
      <w:r w:rsidRPr="00FC4067">
        <w:t>, the Property Asset Management Committee:</w:t>
      </w:r>
    </w:p>
    <w:p w14:paraId="0FFCE1FD" w14:textId="50EA6068" w:rsidR="009D2125" w:rsidRPr="00FC4067" w:rsidRDefault="009D2125" w:rsidP="00096C6C">
      <w:pPr>
        <w:pStyle w:val="Bullets"/>
      </w:pPr>
      <w:r w:rsidRPr="00FC4067">
        <w:t>provided strategic direction for the development of the department’s 10</w:t>
      </w:r>
      <w:r w:rsidR="00337AC0" w:rsidRPr="00FC4067">
        <w:t>-</w:t>
      </w:r>
      <w:r w:rsidRPr="00FC4067">
        <w:t>year Total Asset Management Plan</w:t>
      </w:r>
      <w:r w:rsidR="002109F7" w:rsidRPr="00FC4067">
        <w:t>,</w:t>
      </w:r>
      <w:r w:rsidRPr="00FC4067">
        <w:t xml:space="preserve"> to identify funding requirements</w:t>
      </w:r>
    </w:p>
    <w:p w14:paraId="3E627D8A" w14:textId="77777777" w:rsidR="002941F3" w:rsidRPr="00FC4067" w:rsidRDefault="002941F3" w:rsidP="00096C6C">
      <w:pPr>
        <w:pStyle w:val="Bullets"/>
      </w:pPr>
      <w:r w:rsidRPr="00FC4067">
        <w:t>monitored the department’s annual asset revaluations including methodologies, results and financial impacts</w:t>
      </w:r>
    </w:p>
    <w:p w14:paraId="3DC9B20E" w14:textId="45930D04" w:rsidR="000248C2" w:rsidRPr="00FC4067" w:rsidRDefault="00C14BF7" w:rsidP="00096C6C">
      <w:pPr>
        <w:pStyle w:val="Bullets"/>
      </w:pPr>
      <w:r w:rsidRPr="00FC4067">
        <w:t>p</w:t>
      </w:r>
      <w:r w:rsidR="002941F3" w:rsidRPr="00FC4067">
        <w:t>rovided oversight and strategic direction on the department’s capital, maintenance and upgrade programs</w:t>
      </w:r>
    </w:p>
    <w:p w14:paraId="6EF4C361" w14:textId="2BEF71FB" w:rsidR="00294468" w:rsidRPr="00FC4067" w:rsidRDefault="00C14BF7" w:rsidP="00DC4782">
      <w:pPr>
        <w:pStyle w:val="Committebullets"/>
        <w:numPr>
          <w:ilvl w:val="0"/>
          <w:numId w:val="12"/>
        </w:numPr>
      </w:pPr>
      <w:r w:rsidRPr="00FC4067">
        <w:t>m</w:t>
      </w:r>
      <w:r w:rsidR="000248C2" w:rsidRPr="00FC4067">
        <w:t>onitored and provided oversight o</w:t>
      </w:r>
      <w:r w:rsidR="0017368F" w:rsidRPr="00FC4067">
        <w:t>f</w:t>
      </w:r>
      <w:r w:rsidR="000248C2" w:rsidRPr="00FC4067">
        <w:t xml:space="preserve"> the department’s various divestment and investment strategies</w:t>
      </w:r>
    </w:p>
    <w:p w14:paraId="2E95E93A" w14:textId="3A5698D3" w:rsidR="00294468" w:rsidRPr="00FC4067" w:rsidRDefault="00294468" w:rsidP="00792F33">
      <w:pPr>
        <w:pStyle w:val="Heading3"/>
      </w:pPr>
      <w:r w:rsidRPr="00FC4067">
        <w:t xml:space="preserve">Strategic Procurement Committee </w:t>
      </w:r>
    </w:p>
    <w:p w14:paraId="6FF6E036" w14:textId="54A78B4D" w:rsidR="00BE0314" w:rsidRPr="00FC4067" w:rsidRDefault="00BE0314" w:rsidP="00FC4067">
      <w:pPr>
        <w:shd w:val="clear" w:color="auto" w:fill="FFFFFF" w:themeFill="background1"/>
      </w:pPr>
      <w:r w:rsidRPr="00FC4067">
        <w:t>The Strategic Procurement Committee acts as an advisory service to the Director-General and divisions of the department on procurement policy and practice.</w:t>
      </w:r>
    </w:p>
    <w:p w14:paraId="6D0463BC" w14:textId="77777777" w:rsidR="00BE0314" w:rsidRPr="00FC4067" w:rsidRDefault="00BE0314" w:rsidP="00FC4067">
      <w:pPr>
        <w:shd w:val="clear" w:color="auto" w:fill="FFFFFF" w:themeFill="background1"/>
      </w:pPr>
      <w:r w:rsidRPr="00FC4067">
        <w:rPr>
          <w:b/>
          <w:bCs/>
        </w:rPr>
        <w:t>Chair:</w:t>
      </w:r>
      <w:r w:rsidRPr="00FC4067">
        <w:t xml:space="preserve"> Assistant Director-General, Queensland Government Procurement</w:t>
      </w:r>
    </w:p>
    <w:p w14:paraId="5C7327B2" w14:textId="77777777" w:rsidR="00BE0314" w:rsidRPr="00FC4067" w:rsidRDefault="00BE0314" w:rsidP="00FC4067">
      <w:pPr>
        <w:pStyle w:val="HeadingStyle3"/>
        <w:shd w:val="clear" w:color="auto" w:fill="FFFFFF" w:themeFill="background1"/>
      </w:pPr>
      <w:r w:rsidRPr="00FC4067">
        <w:t>Members:</w:t>
      </w:r>
    </w:p>
    <w:p w14:paraId="48C6B001" w14:textId="07B5DBE5" w:rsidR="00BE0314" w:rsidRPr="00FC4067" w:rsidRDefault="00BE0314" w:rsidP="00096C6C">
      <w:pPr>
        <w:pStyle w:val="Bullets"/>
      </w:pPr>
      <w:r w:rsidRPr="00FC4067">
        <w:t>Executive Director, General Goods and Services, Queensland Government Procurement</w:t>
      </w:r>
    </w:p>
    <w:p w14:paraId="095AF620" w14:textId="73E3692D" w:rsidR="00BE0314" w:rsidRPr="00FC4067" w:rsidRDefault="00BE0314" w:rsidP="00096C6C">
      <w:pPr>
        <w:pStyle w:val="Bullets"/>
      </w:pPr>
      <w:r w:rsidRPr="00FC4067">
        <w:t>Director, General Goods and Services, Queensland Government Procurement</w:t>
      </w:r>
    </w:p>
    <w:p w14:paraId="01A0E25A" w14:textId="7646E63F" w:rsidR="00BE0314" w:rsidRPr="00FC4067" w:rsidRDefault="00BE0314" w:rsidP="00096C6C">
      <w:pPr>
        <w:pStyle w:val="Bullets"/>
      </w:pPr>
      <w:r w:rsidRPr="00FC4067">
        <w:t>Director, Building Construction and Maintenance, Building Industry and Policy</w:t>
      </w:r>
    </w:p>
    <w:p w14:paraId="14183711" w14:textId="18FBE551" w:rsidR="00BE0314" w:rsidRPr="00FC4067" w:rsidRDefault="00BE0314" w:rsidP="00096C6C">
      <w:pPr>
        <w:pStyle w:val="Bullets"/>
      </w:pPr>
      <w:r w:rsidRPr="00FC4067">
        <w:t>Director, Procurement, Business Systems and Reporting, QFleet</w:t>
      </w:r>
    </w:p>
    <w:p w14:paraId="00054CA4" w14:textId="12991398" w:rsidR="00BE0314" w:rsidRPr="00FC4067" w:rsidRDefault="00BE0314" w:rsidP="00D675BC">
      <w:pPr>
        <w:pStyle w:val="Bullets"/>
      </w:pPr>
      <w:r w:rsidRPr="00FC4067">
        <w:t>Director, Strategy, Policy and Performance, Queensland Government Procurement</w:t>
      </w:r>
    </w:p>
    <w:p w14:paraId="6659D6CD" w14:textId="390EE0EC" w:rsidR="00BE0314" w:rsidRPr="00FC4067" w:rsidRDefault="00BE0314" w:rsidP="00E05961">
      <w:pPr>
        <w:pStyle w:val="Bullets"/>
      </w:pPr>
      <w:r w:rsidRPr="00FC4067">
        <w:t>Manager, ICT Procurement Services, Information Services Directorate</w:t>
      </w:r>
      <w:r w:rsidR="006201E6" w:rsidRPr="00FC4067">
        <w:t>, Corporate Services</w:t>
      </w:r>
    </w:p>
    <w:p w14:paraId="1F9266E8" w14:textId="0612D331" w:rsidR="00BE0314" w:rsidRPr="00FC4067" w:rsidRDefault="00BE0314">
      <w:pPr>
        <w:pStyle w:val="Bullets"/>
      </w:pPr>
      <w:r w:rsidRPr="00FC4067">
        <w:t>Director, Corporate Services</w:t>
      </w:r>
    </w:p>
    <w:p w14:paraId="4E829591" w14:textId="1B3CBABF" w:rsidR="00BE0314" w:rsidRPr="00FC4067" w:rsidRDefault="00BE0314">
      <w:pPr>
        <w:pStyle w:val="Bullets"/>
      </w:pPr>
      <w:r w:rsidRPr="00FC4067">
        <w:t>Director, Procurement – Programs, Housing and Homelessness Services</w:t>
      </w:r>
    </w:p>
    <w:p w14:paraId="02B0B9DD" w14:textId="29598F2B" w:rsidR="00BE0314" w:rsidRPr="00FC4067" w:rsidRDefault="00BE0314">
      <w:pPr>
        <w:pStyle w:val="Bullets"/>
      </w:pPr>
      <w:r w:rsidRPr="00FC4067">
        <w:t>Director Central Procurement, Building and Asset Services</w:t>
      </w:r>
      <w:r w:rsidR="006201E6" w:rsidRPr="00FC4067">
        <w:t>, Public Works and Asset Management</w:t>
      </w:r>
    </w:p>
    <w:p w14:paraId="4129C3A7" w14:textId="40EA6CF7" w:rsidR="00AE10A5" w:rsidRPr="00FC4067" w:rsidRDefault="00BD3F4E">
      <w:pPr>
        <w:pStyle w:val="Committebullets"/>
        <w:numPr>
          <w:ilvl w:val="0"/>
          <w:numId w:val="0"/>
        </w:numPr>
      </w:pPr>
      <w:r w:rsidRPr="00FC4067">
        <w:t>The Strategic Procurement Committee was established in November 2016 and its focus is to deliver excellence in procurement for the Housing Strategy construction program and the department’s responsibilities in leading the General Goods and Services, and Building</w:t>
      </w:r>
      <w:r w:rsidRPr="00FC4067">
        <w:rPr>
          <w:strike/>
        </w:rPr>
        <w:t>,</w:t>
      </w:r>
      <w:r w:rsidRPr="00FC4067">
        <w:t xml:space="preserve"> Construction and Maintenance categories for the Queensland Government.</w:t>
      </w:r>
    </w:p>
    <w:p w14:paraId="0E036550" w14:textId="366AFBE1" w:rsidR="009D2125" w:rsidRPr="00FC4067" w:rsidRDefault="00E0448D" w:rsidP="0004270E">
      <w:pPr>
        <w:pStyle w:val="Heading2"/>
      </w:pPr>
      <w:bookmarkStart w:id="43" w:name="_Toc494984634"/>
      <w:r w:rsidRPr="00FC4067">
        <w:t>Strategic Planning, Performance Monitoring and Reporting</w:t>
      </w:r>
      <w:bookmarkEnd w:id="43"/>
    </w:p>
    <w:p w14:paraId="473E23A7" w14:textId="6BD62E0C" w:rsidR="0035462A" w:rsidRPr="00FC4067" w:rsidRDefault="0035462A" w:rsidP="00FC4067">
      <w:pPr>
        <w:shd w:val="clear" w:color="auto" w:fill="FFFFFF" w:themeFill="background1"/>
      </w:pPr>
      <w:bookmarkStart w:id="44" w:name="_TOC_250011"/>
      <w:r w:rsidRPr="00FC4067">
        <w:t xml:space="preserve">Our department’s </w:t>
      </w:r>
      <w:hyperlink r:id="rId22" w:history="1">
        <w:r w:rsidRPr="00FC4067">
          <w:t>Performance Management Framework</w:t>
        </w:r>
      </w:hyperlink>
      <w:r w:rsidRPr="00FC4067">
        <w:t xml:space="preserve"> is structured around four key areas of governance, planning, risk management and performance reporting. The framework demonstrates how the Government’s strategic priorities and targets inform departmental objectives and how these are operationalised through the</w:t>
      </w:r>
      <w:r w:rsidR="001200D8" w:rsidRPr="00FC4067">
        <w:t xml:space="preserve"> business</w:t>
      </w:r>
      <w:r w:rsidRPr="00FC4067">
        <w:t xml:space="preserve"> areas of the department.</w:t>
      </w:r>
    </w:p>
    <w:p w14:paraId="7B92423D" w14:textId="77777777" w:rsidR="005253D8" w:rsidRPr="00FC4067" w:rsidRDefault="005253D8" w:rsidP="00FC4067">
      <w:pPr>
        <w:shd w:val="clear" w:color="auto" w:fill="FFFFFF" w:themeFill="background1"/>
      </w:pPr>
      <w:r w:rsidRPr="00FC4067">
        <w:t>Our department’s performance reporting mechanisms help ensure our strategic objectives are implemented and that services are delivered efficiently and effectively. Our performance reporting arrangements are established in line with the Department of the Premier and Cabinet’s Queensland Government Performance Management Framework.</w:t>
      </w:r>
    </w:p>
    <w:p w14:paraId="0175FB44" w14:textId="3EF61F8B" w:rsidR="007A13DD" w:rsidRPr="00FC4067" w:rsidRDefault="00C2385C" w:rsidP="00FC4067">
      <w:pPr>
        <w:shd w:val="clear" w:color="auto" w:fill="FFFFFF" w:themeFill="background1"/>
      </w:pPr>
      <w:r w:rsidRPr="00FC4067">
        <w:t xml:space="preserve">In </w:t>
      </w:r>
      <w:r w:rsidR="000C39C3" w:rsidRPr="00FC4067">
        <w:t>2016–17</w:t>
      </w:r>
      <w:r w:rsidRPr="00FC4067">
        <w:t xml:space="preserve">, we </w:t>
      </w:r>
      <w:r w:rsidR="005253D8" w:rsidRPr="00FC4067">
        <w:t>improved</w:t>
      </w:r>
      <w:r w:rsidRPr="00FC4067">
        <w:t xml:space="preserve"> mechanisms for monitoring progress towards achieving our strategic objectives and delivering our commitments as described in budget papers. Monthly and quarterly reporting changes strengthened our capacity to </w:t>
      </w:r>
      <w:r w:rsidRPr="00FC4067">
        <w:lastRenderedPageBreak/>
        <w:t xml:space="preserve">identify and respond to issues and support decision-making. Divisional operational planning was supported through the creation of a toolkit to guide planning processes. </w:t>
      </w:r>
    </w:p>
    <w:p w14:paraId="33526B35" w14:textId="1941C9C1" w:rsidR="009D2125" w:rsidRPr="00FC4067" w:rsidRDefault="009D2125" w:rsidP="0004270E">
      <w:pPr>
        <w:pStyle w:val="Heading2"/>
      </w:pPr>
      <w:bookmarkStart w:id="45" w:name="_Toc494984635"/>
      <w:r w:rsidRPr="00FC4067">
        <w:t>R</w:t>
      </w:r>
      <w:bookmarkEnd w:id="44"/>
      <w:r w:rsidR="00E0448D" w:rsidRPr="00FC4067">
        <w:t xml:space="preserve">isk </w:t>
      </w:r>
      <w:r w:rsidR="00293523" w:rsidRPr="00FC4067">
        <w:t>Management</w:t>
      </w:r>
      <w:bookmarkEnd w:id="45"/>
    </w:p>
    <w:p w14:paraId="3A1454CD" w14:textId="2AFA2719" w:rsidR="001046D7" w:rsidRPr="00FC4067" w:rsidRDefault="007234D0" w:rsidP="00FC4067">
      <w:pPr>
        <w:shd w:val="clear" w:color="auto" w:fill="FFFFFF" w:themeFill="background1"/>
      </w:pPr>
      <w:r w:rsidRPr="00FC4067">
        <w:t xml:space="preserve">Our </w:t>
      </w:r>
      <w:r w:rsidR="00543F53" w:rsidRPr="00FC4067">
        <w:t>R</w:t>
      </w:r>
      <w:r w:rsidRPr="00FC4067">
        <w:t xml:space="preserve">isk </w:t>
      </w:r>
      <w:r w:rsidR="00543F53" w:rsidRPr="00FC4067">
        <w:t>M</w:t>
      </w:r>
      <w:r w:rsidRPr="00FC4067">
        <w:t xml:space="preserve">anagement </w:t>
      </w:r>
      <w:r w:rsidR="00543F53" w:rsidRPr="00FC4067">
        <w:t>F</w:t>
      </w:r>
      <w:r w:rsidRPr="00FC4067">
        <w:t xml:space="preserve">ramework aligns </w:t>
      </w:r>
      <w:r w:rsidR="00635283" w:rsidRPr="00FC4067">
        <w:t>to</w:t>
      </w:r>
      <w:r w:rsidRPr="00FC4067">
        <w:t xml:space="preserve"> our governance and accountability structures</w:t>
      </w:r>
      <w:r w:rsidR="008E6D27" w:rsidRPr="00FC4067">
        <w:t xml:space="preserve">. </w:t>
      </w:r>
      <w:r w:rsidRPr="00FC4067">
        <w:t>We have a moderate appetite for risk, ex</w:t>
      </w:r>
      <w:r w:rsidR="00635283" w:rsidRPr="00FC4067">
        <w:t>cept</w:t>
      </w:r>
      <w:r w:rsidRPr="00FC4067">
        <w:t xml:space="preserve"> for workplace health and safety</w:t>
      </w:r>
      <w:r w:rsidR="00635283" w:rsidRPr="00FC4067">
        <w:t>,</w:t>
      </w:r>
      <w:r w:rsidRPr="00FC4067">
        <w:t xml:space="preserve"> and fraud and corruption, for which there is no tolerance. </w:t>
      </w:r>
    </w:p>
    <w:p w14:paraId="0A85187F" w14:textId="236B37C9" w:rsidR="003D542E" w:rsidRPr="00FC4067" w:rsidRDefault="007234D0" w:rsidP="00FC4067">
      <w:pPr>
        <w:shd w:val="clear" w:color="auto" w:fill="FFFFFF" w:themeFill="background1"/>
        <w:rPr>
          <w:color w:val="0033CC"/>
        </w:rPr>
      </w:pPr>
      <w:r w:rsidRPr="00FC4067">
        <w:t xml:space="preserve">During </w:t>
      </w:r>
      <w:r w:rsidR="000C39C3" w:rsidRPr="00FC4067">
        <w:t>2016–17</w:t>
      </w:r>
      <w:r w:rsidR="00A111CF" w:rsidRPr="00FC4067">
        <w:t>,</w:t>
      </w:r>
      <w:r w:rsidRPr="00FC4067">
        <w:t xml:space="preserve"> we continued to focus on improving our risk maturity by embedding and strengthening our risk management practices. </w:t>
      </w:r>
      <w:r w:rsidR="003D542E" w:rsidRPr="00FC4067">
        <w:t xml:space="preserve">Actions to achieve this were contained in the department’s </w:t>
      </w:r>
      <w:r w:rsidR="003D542E" w:rsidRPr="00912E38">
        <w:rPr>
          <w:i/>
        </w:rPr>
        <w:t xml:space="preserve">Risk Management Strategy </w:t>
      </w:r>
      <w:r w:rsidR="000C39C3" w:rsidRPr="00912E38">
        <w:rPr>
          <w:i/>
        </w:rPr>
        <w:t>2016–18</w:t>
      </w:r>
      <w:r w:rsidR="003D542E" w:rsidRPr="00FC4067">
        <w:t>. The strategy is reviewed and updated annually</w:t>
      </w:r>
      <w:r w:rsidR="00A111CF" w:rsidRPr="00FC4067">
        <w:t xml:space="preserve"> and</w:t>
      </w:r>
      <w:r w:rsidR="00635283" w:rsidRPr="00FC4067">
        <w:t xml:space="preserve"> </w:t>
      </w:r>
      <w:r w:rsidR="003D542E" w:rsidRPr="00FC4067">
        <w:t>aim</w:t>
      </w:r>
      <w:r w:rsidR="00A111CF" w:rsidRPr="00FC4067">
        <w:t>s to</w:t>
      </w:r>
      <w:r w:rsidR="003D542E" w:rsidRPr="00FC4067">
        <w:t xml:space="preserve"> improv</w:t>
      </w:r>
      <w:r w:rsidR="00A111CF" w:rsidRPr="00FC4067">
        <w:t>e</w:t>
      </w:r>
      <w:r w:rsidR="003D542E" w:rsidRPr="00FC4067">
        <w:t xml:space="preserve"> our risk management policies, processes, culture, capability and technology.</w:t>
      </w:r>
      <w:r w:rsidR="002A1739" w:rsidRPr="00FC4067">
        <w:t xml:space="preserve"> </w:t>
      </w:r>
    </w:p>
    <w:p w14:paraId="4521FFC2" w14:textId="1748E3EC" w:rsidR="001046D7" w:rsidRPr="00FC4067" w:rsidRDefault="003D542E" w:rsidP="00FC4067">
      <w:pPr>
        <w:shd w:val="clear" w:color="auto" w:fill="FFFFFF" w:themeFill="background1"/>
      </w:pPr>
      <w:r w:rsidRPr="00FC4067">
        <w:t>In accordance with our strategy, r</w:t>
      </w:r>
      <w:r w:rsidR="007234D0" w:rsidRPr="00FC4067">
        <w:t xml:space="preserve">isk management process audits were undertaken across the entire department to assess the level of maturity in each division and identify areas for improvement. </w:t>
      </w:r>
      <w:r w:rsidR="00972FCB" w:rsidRPr="00FC4067">
        <w:t>Additional</w:t>
      </w:r>
      <w:r w:rsidR="007234D0" w:rsidRPr="00FC4067">
        <w:t xml:space="preserve"> communication</w:t>
      </w:r>
      <w:r w:rsidR="00972FCB" w:rsidRPr="00FC4067">
        <w:t xml:space="preserve"> and awareness</w:t>
      </w:r>
      <w:r w:rsidR="003801AA" w:rsidRPr="00FC4067">
        <w:t>-</w:t>
      </w:r>
      <w:r w:rsidR="00972FCB" w:rsidRPr="00FC4067">
        <w:t>raising activities took place</w:t>
      </w:r>
      <w:r w:rsidR="007234D0" w:rsidRPr="00FC4067">
        <w:t xml:space="preserve"> and a risk management capability development plan </w:t>
      </w:r>
      <w:r w:rsidR="00972FCB" w:rsidRPr="00FC4067">
        <w:t xml:space="preserve">was </w:t>
      </w:r>
      <w:r w:rsidR="007234D0" w:rsidRPr="00FC4067">
        <w:t>rolled out</w:t>
      </w:r>
      <w:r w:rsidR="00635283" w:rsidRPr="00FC4067">
        <w:t>. These actions</w:t>
      </w:r>
      <w:r w:rsidR="007234D0" w:rsidRPr="00FC4067">
        <w:t xml:space="preserve"> reinforce</w:t>
      </w:r>
      <w:r w:rsidR="00635283" w:rsidRPr="00FC4067">
        <w:t>d</w:t>
      </w:r>
      <w:r w:rsidR="007234D0" w:rsidRPr="00FC4067">
        <w:t xml:space="preserve"> </w:t>
      </w:r>
      <w:r w:rsidRPr="00FC4067">
        <w:t xml:space="preserve">sound </w:t>
      </w:r>
      <w:r w:rsidR="007234D0" w:rsidRPr="00FC4067">
        <w:t xml:space="preserve">risk management practices. </w:t>
      </w:r>
    </w:p>
    <w:p w14:paraId="5C80B4B9" w14:textId="5F552757" w:rsidR="00A92002" w:rsidRPr="00FC4067" w:rsidRDefault="00E0448D" w:rsidP="0004270E">
      <w:pPr>
        <w:pStyle w:val="Heading2"/>
      </w:pPr>
      <w:bookmarkStart w:id="46" w:name="_Toc494984636"/>
      <w:r w:rsidRPr="00FC4067">
        <w:t>Integrity Services</w:t>
      </w:r>
      <w:bookmarkEnd w:id="46"/>
    </w:p>
    <w:p w14:paraId="5EFE204F" w14:textId="7BC452E0" w:rsidR="008E5697" w:rsidRPr="00FC4067" w:rsidRDefault="008E5697" w:rsidP="00FC4067">
      <w:pPr>
        <w:shd w:val="clear" w:color="auto" w:fill="FFFFFF" w:themeFill="background1"/>
      </w:pPr>
      <w:bookmarkStart w:id="47" w:name="_Toc464823675"/>
      <w:r w:rsidRPr="00FC4067">
        <w:t>The department has a dedicated Integrity Services Unit (a specialist, independent advisory unit) which deals with complaints of corrupt conduct (including fraud and corruption), as well as recommending and monitoring actions to prevent future wrongdoing.</w:t>
      </w:r>
    </w:p>
    <w:p w14:paraId="345A2206" w14:textId="1FE3E40C" w:rsidR="008E5697" w:rsidRPr="00FC4067" w:rsidRDefault="008E5697" w:rsidP="00FC4067">
      <w:pPr>
        <w:shd w:val="clear" w:color="auto" w:fill="FFFFFF" w:themeFill="background1"/>
      </w:pPr>
      <w:r w:rsidRPr="00FC4067">
        <w:t xml:space="preserve">The department demonstrates its commitment to maintaining high integrity standards through </w:t>
      </w:r>
      <w:r w:rsidR="006201E6" w:rsidRPr="00FC4067">
        <w:t xml:space="preserve">its </w:t>
      </w:r>
      <w:r w:rsidRPr="00FC4067">
        <w:t xml:space="preserve">integrity framework. </w:t>
      </w:r>
    </w:p>
    <w:p w14:paraId="7D318612" w14:textId="77777777" w:rsidR="008E5697" w:rsidRPr="00FC4067" w:rsidRDefault="008E5697" w:rsidP="00FC4067">
      <w:pPr>
        <w:shd w:val="clear" w:color="auto" w:fill="FFFFFF" w:themeFill="background1"/>
      </w:pPr>
      <w:r w:rsidRPr="00FC4067">
        <w:t>The framework comprises four key components:</w:t>
      </w:r>
    </w:p>
    <w:p w14:paraId="6FF165FC" w14:textId="4AF091AA" w:rsidR="008E5697" w:rsidRPr="00FC4067" w:rsidRDefault="008E5697" w:rsidP="00DC4782">
      <w:pPr>
        <w:pStyle w:val="ListParagraph"/>
        <w:numPr>
          <w:ilvl w:val="0"/>
          <w:numId w:val="10"/>
        </w:numPr>
        <w:shd w:val="clear" w:color="auto" w:fill="FFFFFF" w:themeFill="background1"/>
      </w:pPr>
      <w:r w:rsidRPr="00FC4067">
        <w:t>setting integrity standards by establishing clear departmental policy (including a Fraud and Corruption Prevention Policy and a Fraud and Corruption Control Plan)</w:t>
      </w:r>
    </w:p>
    <w:p w14:paraId="1AE26D42" w14:textId="58FC411C" w:rsidR="008E5697" w:rsidRPr="00FC4067" w:rsidRDefault="008E5697" w:rsidP="00DC4782">
      <w:pPr>
        <w:pStyle w:val="ListParagraph"/>
        <w:numPr>
          <w:ilvl w:val="0"/>
          <w:numId w:val="10"/>
        </w:numPr>
        <w:shd w:val="clear" w:color="auto" w:fill="FFFFFF" w:themeFill="background1"/>
      </w:pPr>
      <w:r w:rsidRPr="00FC4067">
        <w:t>implementing integrity standards by communicating and demonstrating expected performance standards and supporting staff who report suspected wrongdoing</w:t>
      </w:r>
    </w:p>
    <w:p w14:paraId="7B86486D" w14:textId="5FB1ED6E" w:rsidR="008E5697" w:rsidRPr="00FC4067" w:rsidRDefault="008E5697" w:rsidP="00DC4782">
      <w:pPr>
        <w:pStyle w:val="ListParagraph"/>
        <w:numPr>
          <w:ilvl w:val="0"/>
          <w:numId w:val="10"/>
        </w:numPr>
        <w:shd w:val="clear" w:color="auto" w:fill="FFFFFF" w:themeFill="background1"/>
      </w:pPr>
      <w:r w:rsidRPr="00FC4067">
        <w:t>monitoring integrity standards by undertaking planned and targeted reviews</w:t>
      </w:r>
    </w:p>
    <w:p w14:paraId="69957A6D" w14:textId="58C3062A" w:rsidR="008E5697" w:rsidRPr="00FC4067" w:rsidRDefault="008E5697" w:rsidP="00DC4782">
      <w:pPr>
        <w:pStyle w:val="ListParagraph"/>
        <w:numPr>
          <w:ilvl w:val="0"/>
          <w:numId w:val="10"/>
        </w:numPr>
        <w:shd w:val="clear" w:color="auto" w:fill="FFFFFF" w:themeFill="background1"/>
      </w:pPr>
      <w:r w:rsidRPr="00FC4067">
        <w:t>managing non-conformance by taking action that is appropriate and which supports public confidence in the department.</w:t>
      </w:r>
    </w:p>
    <w:p w14:paraId="14ACCE7F" w14:textId="6B1DDBDF" w:rsidR="008E5697" w:rsidRPr="00FC4067" w:rsidRDefault="008E5697" w:rsidP="00FC4067">
      <w:pPr>
        <w:shd w:val="clear" w:color="auto" w:fill="FFFFFF" w:themeFill="background1"/>
      </w:pPr>
      <w:r w:rsidRPr="00FC4067">
        <w:t xml:space="preserve">During </w:t>
      </w:r>
      <w:r w:rsidR="000C39C3" w:rsidRPr="00FC4067">
        <w:t>2016–17</w:t>
      </w:r>
      <w:r w:rsidRPr="00FC4067">
        <w:t>, the department issued a range of communication initiatives aimed at raising employee awareness about corrupt conduct (including fraud and corruption)</w:t>
      </w:r>
      <w:r w:rsidR="00160290" w:rsidRPr="00FC4067">
        <w:t xml:space="preserve">. Communications </w:t>
      </w:r>
      <w:r w:rsidR="00561DF3" w:rsidRPr="00FC4067">
        <w:t>included</w:t>
      </w:r>
      <w:r w:rsidR="00160290" w:rsidRPr="00FC4067">
        <w:t xml:space="preserve"> </w:t>
      </w:r>
      <w:r w:rsidRPr="00FC4067">
        <w:t>a specific briefing for all departmental employees, misconduct prevention screensavers and regular emails issued to all staff.</w:t>
      </w:r>
    </w:p>
    <w:p w14:paraId="38485E25" w14:textId="77777777" w:rsidR="0081617D" w:rsidRPr="00FC4067" w:rsidRDefault="0081617D" w:rsidP="0004270E">
      <w:pPr>
        <w:pStyle w:val="Heading2"/>
      </w:pPr>
      <w:bookmarkStart w:id="48" w:name="_Toc494984637"/>
      <w:bookmarkEnd w:id="47"/>
      <w:r w:rsidRPr="00FC4067">
        <w:t>Internal Audit</w:t>
      </w:r>
      <w:bookmarkEnd w:id="48"/>
    </w:p>
    <w:p w14:paraId="5D22DB85" w14:textId="6AB3C598" w:rsidR="00EA5BFB" w:rsidRPr="00FC4067" w:rsidRDefault="00AA2D4B" w:rsidP="00FC4067">
      <w:pPr>
        <w:shd w:val="clear" w:color="auto" w:fill="FFFFFF" w:themeFill="background1"/>
      </w:pPr>
      <w:r w:rsidRPr="00FC4067">
        <w:t xml:space="preserve">In line with Section 61 of the </w:t>
      </w:r>
      <w:r w:rsidRPr="00FC4067">
        <w:rPr>
          <w:i/>
          <w:iCs/>
        </w:rPr>
        <w:t>Financial Accountability Act 2009</w:t>
      </w:r>
      <w:r w:rsidRPr="00FC4067">
        <w:t xml:space="preserve"> and the </w:t>
      </w:r>
      <w:r w:rsidRPr="00FC4067">
        <w:rPr>
          <w:i/>
          <w:iCs/>
        </w:rPr>
        <w:t>Financial and Performance Management Standard 2009</w:t>
      </w:r>
      <w:r w:rsidRPr="00FC4067">
        <w:t>, Internal Audit provides independent, objective assurance and advisory services designed to improve the operations and control environment of the department.</w:t>
      </w:r>
    </w:p>
    <w:p w14:paraId="1688D8AB" w14:textId="77777777" w:rsidR="00AA2D4B" w:rsidRPr="00FC4067" w:rsidRDefault="00AA2D4B" w:rsidP="00FC4067">
      <w:pPr>
        <w:shd w:val="clear" w:color="auto" w:fill="FFFFFF" w:themeFill="background1"/>
      </w:pPr>
      <w:r w:rsidRPr="00FC4067">
        <w:t>An approved charter formally defines the purpose, authority and responsibility of Internal Audit. The charter is consistent with the International Standards for the Professional Practice of Internal Auditing as set by the Institute of Internal Auditors. All members of Internal Audit apply and uphold the principles of integrity, objectivity, confidentiality and competency under the Institute of Internal Auditors’ formal Code of Ethics.</w:t>
      </w:r>
    </w:p>
    <w:p w14:paraId="0D730E68" w14:textId="77777777" w:rsidR="00AA2D4B" w:rsidRPr="00FC4067" w:rsidRDefault="00AA2D4B" w:rsidP="00FC4067">
      <w:pPr>
        <w:shd w:val="clear" w:color="auto" w:fill="FFFFFF" w:themeFill="background1"/>
      </w:pPr>
      <w:r w:rsidRPr="00FC4067">
        <w:t xml:space="preserve">Internal Audit operates independently from the core activities of the department and is accountable to the Director-General for its efficient, effective and economical operation. </w:t>
      </w:r>
    </w:p>
    <w:p w14:paraId="1B43A89D" w14:textId="207791BD" w:rsidR="00AA2D4B" w:rsidRDefault="00AA2D4B" w:rsidP="00FC4067">
      <w:pPr>
        <w:shd w:val="clear" w:color="auto" w:fill="FFFFFF" w:themeFill="background1"/>
      </w:pPr>
      <w:r w:rsidRPr="00FC4067">
        <w:lastRenderedPageBreak/>
        <w:t xml:space="preserve">Internal Audit works according to a strategic and risk based annual audit plan. These plans are endorsed by the Executive Leadership Team and </w:t>
      </w:r>
      <w:r w:rsidR="00A35B3F" w:rsidRPr="00FC4067">
        <w:t xml:space="preserve">the </w:t>
      </w:r>
      <w:r w:rsidRPr="00FC4067">
        <w:t>Audit and Risk Committee prior to approval by the Director-General. Internal Audit attends and reports to every Audit and Risk Committee meeting on progress made in executing the annual audit plan. Reporting includes the status of the implementation of internal and external audit recommendations.</w:t>
      </w:r>
    </w:p>
    <w:p w14:paraId="0EE38109" w14:textId="77777777" w:rsidR="00AA2D4B" w:rsidRDefault="00AA2D4B" w:rsidP="00FC4067">
      <w:pPr>
        <w:shd w:val="clear" w:color="auto" w:fill="FFFFFF" w:themeFill="background1"/>
      </w:pPr>
      <w:r w:rsidRPr="00FC4067">
        <w:t>Internal Audit coordinates its activities with external audit to obtain satisfactory audit coverage and minimise duplication of effort.</w:t>
      </w:r>
    </w:p>
    <w:p w14:paraId="551D758D" w14:textId="24DCD8CF" w:rsidR="00B43ED2" w:rsidRPr="00FC4067" w:rsidRDefault="00B43ED2" w:rsidP="00912E38">
      <w:r>
        <w:t>During 2016</w:t>
      </w:r>
      <w:r w:rsidRPr="006F2D70">
        <w:t>–</w:t>
      </w:r>
      <w:r>
        <w:t>17</w:t>
      </w:r>
      <w:r w:rsidRPr="006F2D70">
        <w:t xml:space="preserve">, the </w:t>
      </w:r>
      <w:r>
        <w:t xml:space="preserve">Internal Audit function </w:t>
      </w:r>
      <w:r w:rsidRPr="006F2D70">
        <w:t>had due regard to Queensland Treasury’s Audit Committee Guidelines, issued in 2012.</w:t>
      </w:r>
    </w:p>
    <w:p w14:paraId="0D14F5DE" w14:textId="24704268" w:rsidR="0081617D" w:rsidRPr="00FC4067" w:rsidRDefault="0081617D" w:rsidP="00FC4067">
      <w:pPr>
        <w:shd w:val="clear" w:color="auto" w:fill="FFFFFF" w:themeFill="background1"/>
      </w:pPr>
      <w:r w:rsidRPr="00FC4067">
        <w:t>In 201</w:t>
      </w:r>
      <w:r w:rsidR="00AA2D4B" w:rsidRPr="00FC4067">
        <w:t>6</w:t>
      </w:r>
      <w:r w:rsidRPr="00FC4067">
        <w:t>–1</w:t>
      </w:r>
      <w:r w:rsidR="00AA2D4B" w:rsidRPr="00FC4067">
        <w:t>7</w:t>
      </w:r>
      <w:r w:rsidRPr="00FC4067">
        <w:t>, Internal Audit:</w:t>
      </w:r>
    </w:p>
    <w:p w14:paraId="7828FBF8" w14:textId="20AEAB24" w:rsidR="0081617D" w:rsidRPr="00FC4067" w:rsidRDefault="00B3279C" w:rsidP="00096C6C">
      <w:pPr>
        <w:pStyle w:val="Bullets"/>
      </w:pPr>
      <w:r w:rsidRPr="00FC4067">
        <w:t>e</w:t>
      </w:r>
      <w:r w:rsidR="00AA2D4B" w:rsidRPr="00FC4067">
        <w:t xml:space="preserve">xecuted 20 </w:t>
      </w:r>
      <w:r w:rsidR="0081617D" w:rsidRPr="00FC4067">
        <w:t>planned and s</w:t>
      </w:r>
      <w:r w:rsidR="00AA2D4B" w:rsidRPr="00FC4067">
        <w:t>ix</w:t>
      </w:r>
      <w:r w:rsidR="0081617D" w:rsidRPr="00FC4067">
        <w:t xml:space="preserve"> unplanned projects which included advisory work and </w:t>
      </w:r>
      <w:r w:rsidR="00525213" w:rsidRPr="00FC4067">
        <w:t>data analytics</w:t>
      </w:r>
      <w:r w:rsidR="004D125A" w:rsidRPr="00FC4067">
        <w:t>;</w:t>
      </w:r>
      <w:r w:rsidR="00704727" w:rsidRPr="00FC4067">
        <w:t xml:space="preserve"> and</w:t>
      </w:r>
      <w:r w:rsidR="004D125A" w:rsidRPr="00FC4067">
        <w:t xml:space="preserve"> t</w:t>
      </w:r>
      <w:r w:rsidR="0081617D" w:rsidRPr="00FC4067">
        <w:t>hrough these activities, provided assurance and advice that the department’s financial and operational controls are designed to manage risks, and achieve the department’s objectives in the areas reviewed</w:t>
      </w:r>
    </w:p>
    <w:p w14:paraId="57574D62" w14:textId="03E3AA69" w:rsidR="0081617D" w:rsidRPr="00FC4067" w:rsidRDefault="004D125A" w:rsidP="00096C6C">
      <w:pPr>
        <w:pStyle w:val="Bullets"/>
      </w:pPr>
      <w:r w:rsidRPr="00FC4067">
        <w:t>p</w:t>
      </w:r>
      <w:r w:rsidR="00525213" w:rsidRPr="00FC4067">
        <w:t>rovided monthly reports to management on potential anomalies identified through data analytics in the procure to pay process</w:t>
      </w:r>
      <w:r w:rsidR="001E20AD">
        <w:t xml:space="preserve"> –</w:t>
      </w:r>
      <w:r w:rsidRPr="00FC4067">
        <w:t xml:space="preserve"> t</w:t>
      </w:r>
      <w:r w:rsidR="00525213" w:rsidRPr="00FC4067">
        <w:t xml:space="preserve">his forms part of the </w:t>
      </w:r>
      <w:r w:rsidR="0081617D" w:rsidRPr="00FC4067">
        <w:t>program</w:t>
      </w:r>
      <w:r w:rsidR="00525213" w:rsidRPr="00FC4067">
        <w:t xml:space="preserve"> of work </w:t>
      </w:r>
      <w:r w:rsidR="0081617D" w:rsidRPr="00FC4067">
        <w:t>support</w:t>
      </w:r>
      <w:r w:rsidR="00525213" w:rsidRPr="00FC4067">
        <w:t xml:space="preserve">ing </w:t>
      </w:r>
      <w:r w:rsidR="0081617D" w:rsidRPr="00FC4067">
        <w:t>a sustainable control environment for the department.</w:t>
      </w:r>
    </w:p>
    <w:p w14:paraId="4B407ED8" w14:textId="342F2D5E" w:rsidR="0081617D" w:rsidRPr="00FC4067" w:rsidRDefault="0081617D" w:rsidP="0004270E">
      <w:pPr>
        <w:pStyle w:val="Heading2"/>
      </w:pPr>
      <w:bookmarkStart w:id="49" w:name="_Toc464823676"/>
      <w:bookmarkStart w:id="50" w:name="_Toc494984638"/>
      <w:r w:rsidRPr="00FC4067">
        <w:t>Information Systems and Recordkeeping</w:t>
      </w:r>
      <w:bookmarkEnd w:id="49"/>
      <w:bookmarkEnd w:id="50"/>
    </w:p>
    <w:p w14:paraId="474DE32F" w14:textId="21A54D55" w:rsidR="005D10B8" w:rsidRPr="00FC4067" w:rsidRDefault="005D10B8" w:rsidP="00FC4067">
      <w:pPr>
        <w:shd w:val="clear" w:color="auto" w:fill="FFFFFF" w:themeFill="background1"/>
      </w:pPr>
      <w:r w:rsidRPr="00FC4067">
        <w:t xml:space="preserve">The department views recordkeeping as an integral part of its business activities. The </w:t>
      </w:r>
      <w:r w:rsidRPr="00FC4067">
        <w:rPr>
          <w:i/>
          <w:iCs/>
        </w:rPr>
        <w:t>Public Records Act 2002</w:t>
      </w:r>
      <w:r w:rsidRPr="00FC4067">
        <w:t xml:space="preserve"> and the Queensland State Archivist’s whole</w:t>
      </w:r>
      <w:r w:rsidR="00A3160C" w:rsidRPr="00FC4067">
        <w:t>-</w:t>
      </w:r>
      <w:r w:rsidRPr="00FC4067">
        <w:t>of</w:t>
      </w:r>
      <w:r w:rsidR="00A3160C" w:rsidRPr="00FC4067">
        <w:t>-</w:t>
      </w:r>
      <w:r w:rsidRPr="00FC4067">
        <w:t>government policies contribute to the foundations of departmental inf</w:t>
      </w:r>
      <w:r w:rsidR="002C4229" w:rsidRPr="00FC4067">
        <w:t xml:space="preserve">ormation management practices. </w:t>
      </w:r>
    </w:p>
    <w:p w14:paraId="12116E5A" w14:textId="77777777" w:rsidR="005D10B8" w:rsidRPr="00FC4067" w:rsidRDefault="005D10B8" w:rsidP="00FC4067">
      <w:pPr>
        <w:shd w:val="clear" w:color="auto" w:fill="FFFFFF" w:themeFill="background1"/>
      </w:pPr>
      <w:r w:rsidRPr="00FC4067">
        <w:t>In 2016–17, the department has been actively working to:</w:t>
      </w:r>
    </w:p>
    <w:p w14:paraId="41C31D54" w14:textId="77777777" w:rsidR="005D10B8" w:rsidRPr="00FC4067" w:rsidRDefault="005D10B8" w:rsidP="00DC4782">
      <w:pPr>
        <w:pStyle w:val="ListParagraph"/>
        <w:numPr>
          <w:ilvl w:val="0"/>
          <w:numId w:val="5"/>
        </w:numPr>
        <w:shd w:val="clear" w:color="auto" w:fill="FFFFFF" w:themeFill="background1"/>
      </w:pPr>
      <w:r w:rsidRPr="00FC4067">
        <w:t xml:space="preserve">align electronic document stores to the departmental business classification scheme, ensuring consistency and increased findability of documents and information </w:t>
      </w:r>
    </w:p>
    <w:p w14:paraId="754906EA" w14:textId="77777777" w:rsidR="005D10B8" w:rsidRPr="00FC4067" w:rsidRDefault="005D10B8" w:rsidP="00DC4782">
      <w:pPr>
        <w:pStyle w:val="ListParagraph"/>
        <w:numPr>
          <w:ilvl w:val="0"/>
          <w:numId w:val="5"/>
        </w:numPr>
        <w:shd w:val="clear" w:color="auto" w:fill="FFFFFF" w:themeFill="background1"/>
      </w:pPr>
      <w:r w:rsidRPr="00FC4067">
        <w:t xml:space="preserve">implement requirements for the management of business records including defining ephemeral information that can be destroyed when business requirements have been completed </w:t>
      </w:r>
    </w:p>
    <w:p w14:paraId="0D9B3253" w14:textId="77777777" w:rsidR="005D10B8" w:rsidRPr="00FC4067" w:rsidRDefault="005D10B8" w:rsidP="00DC4782">
      <w:pPr>
        <w:pStyle w:val="ListParagraph"/>
        <w:numPr>
          <w:ilvl w:val="0"/>
          <w:numId w:val="5"/>
        </w:numPr>
        <w:shd w:val="clear" w:color="auto" w:fill="FFFFFF" w:themeFill="background1"/>
      </w:pPr>
      <w:r w:rsidRPr="00FC4067">
        <w:t>manage the transition of information from decommissioned information systems into inactive status to commence the retention period</w:t>
      </w:r>
    </w:p>
    <w:p w14:paraId="15E6629C" w14:textId="69BF178A" w:rsidR="005D10B8" w:rsidRPr="00FC4067" w:rsidRDefault="005D10B8" w:rsidP="00DC4782">
      <w:pPr>
        <w:pStyle w:val="ListParagraph"/>
        <w:numPr>
          <w:ilvl w:val="0"/>
          <w:numId w:val="5"/>
        </w:numPr>
        <w:shd w:val="clear" w:color="auto" w:fill="FFFFFF" w:themeFill="background1"/>
      </w:pPr>
      <w:r w:rsidRPr="00FC4067">
        <w:t>identify opportunities to provide rec</w:t>
      </w:r>
      <w:r w:rsidR="004E0618" w:rsidRPr="00FC4067">
        <w:t xml:space="preserve">ordkeeping advice and support. </w:t>
      </w:r>
    </w:p>
    <w:p w14:paraId="2D0B535E" w14:textId="1982B933" w:rsidR="0081617D" w:rsidRPr="00FC4067" w:rsidRDefault="0081617D" w:rsidP="0004270E">
      <w:pPr>
        <w:pStyle w:val="Heading2"/>
      </w:pPr>
      <w:bookmarkStart w:id="51" w:name="_Toc464823677"/>
      <w:bookmarkStart w:id="52" w:name="_Toc494984639"/>
      <w:r w:rsidRPr="00FC4067">
        <w:t>Information Technology</w:t>
      </w:r>
      <w:bookmarkEnd w:id="51"/>
      <w:bookmarkEnd w:id="52"/>
    </w:p>
    <w:p w14:paraId="65CD19ED" w14:textId="31005AEB" w:rsidR="005D10B8" w:rsidRPr="00FC4067" w:rsidRDefault="005D10B8" w:rsidP="00FC4067">
      <w:pPr>
        <w:shd w:val="clear" w:color="auto" w:fill="FFFFFF" w:themeFill="background1"/>
      </w:pPr>
      <w:r w:rsidRPr="00FC4067">
        <w:t xml:space="preserve">The Information Services Directorate supports the </w:t>
      </w:r>
      <w:r w:rsidR="009C2A7F" w:rsidRPr="00FC4067">
        <w:t>i</w:t>
      </w:r>
      <w:r w:rsidRPr="00FC4067">
        <w:t xml:space="preserve">nformation and </w:t>
      </w:r>
      <w:r w:rsidR="009C2A7F" w:rsidRPr="00FC4067">
        <w:t>c</w:t>
      </w:r>
      <w:r w:rsidRPr="00FC4067">
        <w:t xml:space="preserve">ommunication </w:t>
      </w:r>
      <w:r w:rsidR="009C2A7F" w:rsidRPr="00FC4067">
        <w:t>t</w:t>
      </w:r>
      <w:r w:rsidRPr="00FC4067">
        <w:t xml:space="preserve">echnology (ICT) strategic goals of the department through the </w:t>
      </w:r>
      <w:r w:rsidRPr="00FC4067">
        <w:rPr>
          <w:i/>
        </w:rPr>
        <w:t>ICT Strategic Plan 2015–2019</w:t>
      </w:r>
      <w:r w:rsidR="00096189" w:rsidRPr="00FC4067">
        <w:t xml:space="preserve">. </w:t>
      </w:r>
      <w:r w:rsidR="00803F07" w:rsidRPr="00FC4067">
        <w:t>It</w:t>
      </w:r>
      <w:r w:rsidRPr="00FC4067">
        <w:t xml:space="preserve"> aligns with the </w:t>
      </w:r>
      <w:r w:rsidR="009C2A7F" w:rsidRPr="00FC4067">
        <w:t>Queensland</w:t>
      </w:r>
      <w:r w:rsidRPr="00FC4067">
        <w:t xml:space="preserve"> Government ICT Strategy and outlines how ICT will be used to enable and deliver on the department’s objectives, strategies and future ICT planning and investment.</w:t>
      </w:r>
    </w:p>
    <w:p w14:paraId="086893C2" w14:textId="4E8C9649" w:rsidR="005D10B8" w:rsidRPr="00FC4067" w:rsidRDefault="005D10B8" w:rsidP="00FC4067">
      <w:pPr>
        <w:shd w:val="clear" w:color="auto" w:fill="FFFFFF" w:themeFill="background1"/>
      </w:pPr>
      <w:r w:rsidRPr="00FC4067">
        <w:t>With technologies moving to cloud computing</w:t>
      </w:r>
      <w:r w:rsidR="005E33D8" w:rsidRPr="00FC4067">
        <w:t>,</w:t>
      </w:r>
      <w:r w:rsidRPr="00FC4067">
        <w:t xml:space="preserve"> the ICT </w:t>
      </w:r>
      <w:r w:rsidR="005E33D8" w:rsidRPr="00FC4067">
        <w:t>s</w:t>
      </w:r>
      <w:r w:rsidRPr="00FC4067">
        <w:t>trategies are articulating departmental drivers for cloud adoption and evaluating current ICT assets and services. Detection and monitoring of user-initiated cloud services has been established through awareness programs.</w:t>
      </w:r>
    </w:p>
    <w:p w14:paraId="2EF93A37" w14:textId="31A95D3D" w:rsidR="00810EB5" w:rsidRPr="00FC4067" w:rsidRDefault="005D10B8" w:rsidP="00FC4067">
      <w:pPr>
        <w:shd w:val="clear" w:color="auto" w:fill="FFFFFF" w:themeFill="background1"/>
      </w:pPr>
      <w:r w:rsidRPr="00FC4067">
        <w:t>Service desk support is provided to all offices located across Queensland. In 2014</w:t>
      </w:r>
      <w:r w:rsidR="005E33D8" w:rsidRPr="00FC4067">
        <w:t>–</w:t>
      </w:r>
      <w:r w:rsidRPr="00FC4067">
        <w:t>15</w:t>
      </w:r>
      <w:r w:rsidR="005E33D8" w:rsidRPr="00FC4067">
        <w:t>,</w:t>
      </w:r>
      <w:r w:rsidRPr="00FC4067">
        <w:t xml:space="preserve"> 48,233 enquiries were logged, this increased in 2015</w:t>
      </w:r>
      <w:r w:rsidR="005E33D8" w:rsidRPr="00FC4067">
        <w:t>–</w:t>
      </w:r>
      <w:r w:rsidRPr="00FC4067">
        <w:t>16 to 66,455 due to the introduction of an upgraded desktop environment with enhanced mobility capability. In 2016</w:t>
      </w:r>
      <w:r w:rsidR="005E33D8" w:rsidRPr="00FC4067">
        <w:t>–</w:t>
      </w:r>
      <w:r w:rsidRPr="00FC4067">
        <w:t>17</w:t>
      </w:r>
      <w:r w:rsidR="005E33D8" w:rsidRPr="00FC4067">
        <w:t>,</w:t>
      </w:r>
      <w:r w:rsidRPr="00FC4067">
        <w:t xml:space="preserve"> enquiries decreased to 57,317 because of the stabilisation of the environment and growing user awareness of the function and capability.</w:t>
      </w:r>
    </w:p>
    <w:p w14:paraId="39CBFD2A" w14:textId="68D9EF9A" w:rsidR="00F415A5" w:rsidRPr="00FC4067" w:rsidRDefault="00F415A5" w:rsidP="00FC4067">
      <w:pPr>
        <w:shd w:val="clear" w:color="auto" w:fill="FFFFFF" w:themeFill="background1"/>
      </w:pPr>
      <w:bookmarkStart w:id="53" w:name="_Toc464823678"/>
    </w:p>
    <w:p w14:paraId="21BB65CE" w14:textId="77777777" w:rsidR="00634330" w:rsidRDefault="00634330" w:rsidP="00FC4067">
      <w:pPr>
        <w:shd w:val="clear" w:color="auto" w:fill="FFFFFF" w:themeFill="background1"/>
        <w:sectPr w:rsidR="00634330" w:rsidSect="003D5AB2">
          <w:type w:val="continuous"/>
          <w:pgSz w:w="11910" w:h="16840"/>
          <w:pgMar w:top="1440" w:right="1440" w:bottom="1440" w:left="1440" w:header="241" w:footer="478" w:gutter="0"/>
          <w:cols w:num="2" w:space="397"/>
        </w:sectPr>
      </w:pPr>
    </w:p>
    <w:p w14:paraId="253D43DA" w14:textId="5C4C6828" w:rsidR="00634330" w:rsidRDefault="00634330">
      <w:pPr>
        <w:spacing w:line="259" w:lineRule="auto"/>
        <w:sectPr w:rsidR="00634330" w:rsidSect="00634330">
          <w:type w:val="continuous"/>
          <w:pgSz w:w="11910" w:h="16840"/>
          <w:pgMar w:top="1440" w:right="1440" w:bottom="1440" w:left="1440" w:header="241" w:footer="478" w:gutter="0"/>
          <w:cols w:space="397"/>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6"/>
        <w:gridCol w:w="1182"/>
        <w:gridCol w:w="1548"/>
      </w:tblGrid>
      <w:tr w:rsidR="007D07DC" w:rsidRPr="00A47FE1" w14:paraId="52AA75A0" w14:textId="77777777" w:rsidTr="00A47FE1">
        <w:tc>
          <w:tcPr>
            <w:tcW w:w="1566" w:type="dxa"/>
            <w:shd w:val="clear" w:color="auto" w:fill="BFBFBF" w:themeFill="background1" w:themeFillShade="BF"/>
            <w:tcMar>
              <w:top w:w="0" w:type="dxa"/>
              <w:left w:w="108" w:type="dxa"/>
              <w:bottom w:w="0" w:type="dxa"/>
              <w:right w:w="108" w:type="dxa"/>
            </w:tcMar>
          </w:tcPr>
          <w:p w14:paraId="54C3A73F" w14:textId="4D3DCF83" w:rsidR="007D07DC" w:rsidRPr="00DC4782" w:rsidRDefault="00DC4782" w:rsidP="00DC4782">
            <w:r>
              <w:lastRenderedPageBreak/>
              <w:t>Service type</w:t>
            </w:r>
          </w:p>
        </w:tc>
        <w:tc>
          <w:tcPr>
            <w:tcW w:w="1182" w:type="dxa"/>
            <w:shd w:val="clear" w:color="auto" w:fill="BFBFBF" w:themeFill="background1" w:themeFillShade="BF"/>
          </w:tcPr>
          <w:p w14:paraId="70F3F606" w14:textId="4B3BA24E" w:rsidR="007D07DC" w:rsidRPr="00DC4782" w:rsidRDefault="000C39C3" w:rsidP="00DC4782">
            <w:r w:rsidRPr="00DC4782">
              <w:t>2015–16</w:t>
            </w:r>
          </w:p>
        </w:tc>
        <w:tc>
          <w:tcPr>
            <w:tcW w:w="1548" w:type="dxa"/>
            <w:shd w:val="clear" w:color="auto" w:fill="BFBFBF" w:themeFill="background1" w:themeFillShade="BF"/>
            <w:tcMar>
              <w:top w:w="0" w:type="dxa"/>
              <w:left w:w="108" w:type="dxa"/>
              <w:bottom w:w="0" w:type="dxa"/>
              <w:right w:w="108" w:type="dxa"/>
            </w:tcMar>
          </w:tcPr>
          <w:p w14:paraId="5A3231B9" w14:textId="49CE6EE4" w:rsidR="007D07DC" w:rsidRPr="00DC4782" w:rsidRDefault="000C39C3" w:rsidP="00DC4782">
            <w:r w:rsidRPr="00DC4782">
              <w:t>2016–17</w:t>
            </w:r>
          </w:p>
        </w:tc>
      </w:tr>
      <w:tr w:rsidR="007D07DC" w:rsidRPr="00FC4067" w14:paraId="22EC43E2" w14:textId="77777777" w:rsidTr="74C4DED9">
        <w:tc>
          <w:tcPr>
            <w:tcW w:w="1566" w:type="dxa"/>
            <w:tcMar>
              <w:top w:w="0" w:type="dxa"/>
              <w:left w:w="108" w:type="dxa"/>
              <w:bottom w:w="0" w:type="dxa"/>
              <w:right w:w="108" w:type="dxa"/>
            </w:tcMar>
            <w:hideMark/>
          </w:tcPr>
          <w:p w14:paraId="714B32F5" w14:textId="77777777" w:rsidR="007D07DC" w:rsidRPr="00FC4067" w:rsidRDefault="007D07DC" w:rsidP="00FC4067">
            <w:pPr>
              <w:shd w:val="clear" w:color="auto" w:fill="FFFFFF" w:themeFill="background1"/>
            </w:pPr>
            <w:r w:rsidRPr="00FC4067">
              <w:t>Self service</w:t>
            </w:r>
          </w:p>
        </w:tc>
        <w:tc>
          <w:tcPr>
            <w:tcW w:w="1182" w:type="dxa"/>
          </w:tcPr>
          <w:p w14:paraId="52C50B24" w14:textId="100A0B3A" w:rsidR="007D07DC" w:rsidRPr="00FC4067" w:rsidRDefault="007D07DC" w:rsidP="00FC4067">
            <w:pPr>
              <w:shd w:val="clear" w:color="auto" w:fill="FFFFFF" w:themeFill="background1"/>
            </w:pPr>
            <w:r w:rsidRPr="00FC4067">
              <w:t>2,011</w:t>
            </w:r>
          </w:p>
        </w:tc>
        <w:tc>
          <w:tcPr>
            <w:tcW w:w="1548" w:type="dxa"/>
            <w:tcMar>
              <w:top w:w="0" w:type="dxa"/>
              <w:left w:w="108" w:type="dxa"/>
              <w:bottom w:w="0" w:type="dxa"/>
              <w:right w:w="108" w:type="dxa"/>
            </w:tcMar>
            <w:hideMark/>
          </w:tcPr>
          <w:p w14:paraId="6CEEDEF5" w14:textId="7E13A59A" w:rsidR="007D07DC" w:rsidRPr="00FC4067" w:rsidRDefault="007D07DC" w:rsidP="00FC4067">
            <w:pPr>
              <w:shd w:val="clear" w:color="auto" w:fill="FFFFFF" w:themeFill="background1"/>
            </w:pPr>
            <w:r w:rsidRPr="00FC4067">
              <w:t>1,600</w:t>
            </w:r>
          </w:p>
        </w:tc>
      </w:tr>
      <w:tr w:rsidR="007D07DC" w:rsidRPr="00FC4067" w14:paraId="0FCFFAFF" w14:textId="77777777" w:rsidTr="74C4DED9">
        <w:tc>
          <w:tcPr>
            <w:tcW w:w="1566" w:type="dxa"/>
            <w:tcMar>
              <w:top w:w="0" w:type="dxa"/>
              <w:left w:w="108" w:type="dxa"/>
              <w:bottom w:w="0" w:type="dxa"/>
              <w:right w:w="108" w:type="dxa"/>
            </w:tcMar>
            <w:hideMark/>
          </w:tcPr>
          <w:p w14:paraId="5CF4F7B6" w14:textId="77777777" w:rsidR="007D07DC" w:rsidRPr="00FC4067" w:rsidRDefault="007D07DC" w:rsidP="00FC4067">
            <w:pPr>
              <w:shd w:val="clear" w:color="auto" w:fill="FFFFFF" w:themeFill="background1"/>
            </w:pPr>
            <w:r w:rsidRPr="00FC4067">
              <w:t>In person</w:t>
            </w:r>
          </w:p>
        </w:tc>
        <w:tc>
          <w:tcPr>
            <w:tcW w:w="1182" w:type="dxa"/>
          </w:tcPr>
          <w:p w14:paraId="55952A2F" w14:textId="49B028F2" w:rsidR="007D07DC" w:rsidRPr="00FC4067" w:rsidRDefault="007D07DC" w:rsidP="00FC4067">
            <w:pPr>
              <w:shd w:val="clear" w:color="auto" w:fill="FFFFFF" w:themeFill="background1"/>
            </w:pPr>
            <w:r w:rsidRPr="00FC4067">
              <w:t>1,547</w:t>
            </w:r>
          </w:p>
        </w:tc>
        <w:tc>
          <w:tcPr>
            <w:tcW w:w="1548" w:type="dxa"/>
            <w:tcMar>
              <w:top w:w="0" w:type="dxa"/>
              <w:left w:w="108" w:type="dxa"/>
              <w:bottom w:w="0" w:type="dxa"/>
              <w:right w:w="108" w:type="dxa"/>
            </w:tcMar>
            <w:hideMark/>
          </w:tcPr>
          <w:p w14:paraId="3CCFED50" w14:textId="5C7D7F9A" w:rsidR="007D07DC" w:rsidRPr="00FC4067" w:rsidRDefault="007D07DC" w:rsidP="00FC4067">
            <w:pPr>
              <w:shd w:val="clear" w:color="auto" w:fill="FFFFFF" w:themeFill="background1"/>
            </w:pPr>
            <w:r w:rsidRPr="00FC4067">
              <w:t>1,312</w:t>
            </w:r>
          </w:p>
        </w:tc>
      </w:tr>
      <w:tr w:rsidR="007D07DC" w:rsidRPr="00FC4067" w14:paraId="102CC120" w14:textId="77777777" w:rsidTr="74C4DED9">
        <w:tc>
          <w:tcPr>
            <w:tcW w:w="1566" w:type="dxa"/>
            <w:tcMar>
              <w:top w:w="0" w:type="dxa"/>
              <w:left w:w="108" w:type="dxa"/>
              <w:bottom w:w="0" w:type="dxa"/>
              <w:right w:w="108" w:type="dxa"/>
            </w:tcMar>
            <w:hideMark/>
          </w:tcPr>
          <w:p w14:paraId="38DCAF73" w14:textId="77777777" w:rsidR="007D07DC" w:rsidRPr="00FC4067" w:rsidRDefault="007D07DC" w:rsidP="00FC4067">
            <w:pPr>
              <w:shd w:val="clear" w:color="auto" w:fill="FFFFFF" w:themeFill="background1"/>
            </w:pPr>
            <w:r w:rsidRPr="00FC4067">
              <w:t>By form</w:t>
            </w:r>
          </w:p>
        </w:tc>
        <w:tc>
          <w:tcPr>
            <w:tcW w:w="1182" w:type="dxa"/>
          </w:tcPr>
          <w:p w14:paraId="156513E3" w14:textId="1D5A6C3B" w:rsidR="007D07DC" w:rsidRPr="00FC4067" w:rsidRDefault="007D07DC" w:rsidP="00FC4067">
            <w:pPr>
              <w:shd w:val="clear" w:color="auto" w:fill="FFFFFF" w:themeFill="background1"/>
            </w:pPr>
            <w:r w:rsidRPr="00FC4067">
              <w:t>6,534</w:t>
            </w:r>
          </w:p>
        </w:tc>
        <w:tc>
          <w:tcPr>
            <w:tcW w:w="1548" w:type="dxa"/>
            <w:tcMar>
              <w:top w:w="0" w:type="dxa"/>
              <w:left w:w="108" w:type="dxa"/>
              <w:bottom w:w="0" w:type="dxa"/>
              <w:right w:w="108" w:type="dxa"/>
            </w:tcMar>
            <w:hideMark/>
          </w:tcPr>
          <w:p w14:paraId="0543AC11" w14:textId="16ECCC44" w:rsidR="007D07DC" w:rsidRPr="00FC4067" w:rsidRDefault="007D07DC" w:rsidP="00FC4067">
            <w:pPr>
              <w:shd w:val="clear" w:color="auto" w:fill="FFFFFF" w:themeFill="background1"/>
            </w:pPr>
            <w:r w:rsidRPr="00FC4067">
              <w:t>6,838</w:t>
            </w:r>
          </w:p>
        </w:tc>
      </w:tr>
      <w:tr w:rsidR="007D07DC" w:rsidRPr="00FC4067" w14:paraId="090F3CAB" w14:textId="77777777" w:rsidTr="74C4DED9">
        <w:tc>
          <w:tcPr>
            <w:tcW w:w="1566" w:type="dxa"/>
            <w:tcMar>
              <w:top w:w="0" w:type="dxa"/>
              <w:left w:w="108" w:type="dxa"/>
              <w:bottom w:w="0" w:type="dxa"/>
              <w:right w:w="108" w:type="dxa"/>
            </w:tcMar>
            <w:hideMark/>
          </w:tcPr>
          <w:p w14:paraId="1FF99DE7" w14:textId="77777777" w:rsidR="007D07DC" w:rsidRPr="00FC4067" w:rsidRDefault="007D07DC" w:rsidP="00FC4067">
            <w:pPr>
              <w:shd w:val="clear" w:color="auto" w:fill="FFFFFF" w:themeFill="background1"/>
            </w:pPr>
            <w:r w:rsidRPr="00FC4067">
              <w:t>By email</w:t>
            </w:r>
          </w:p>
        </w:tc>
        <w:tc>
          <w:tcPr>
            <w:tcW w:w="1182" w:type="dxa"/>
          </w:tcPr>
          <w:p w14:paraId="76D9384C" w14:textId="4E72BC4B" w:rsidR="007D07DC" w:rsidRPr="00FC4067" w:rsidRDefault="007D07DC" w:rsidP="00FC4067">
            <w:pPr>
              <w:shd w:val="clear" w:color="auto" w:fill="FFFFFF" w:themeFill="background1"/>
            </w:pPr>
            <w:r w:rsidRPr="00FC4067">
              <w:t>21,419</w:t>
            </w:r>
          </w:p>
        </w:tc>
        <w:tc>
          <w:tcPr>
            <w:tcW w:w="1548" w:type="dxa"/>
            <w:tcMar>
              <w:top w:w="0" w:type="dxa"/>
              <w:left w:w="108" w:type="dxa"/>
              <w:bottom w:w="0" w:type="dxa"/>
              <w:right w:w="108" w:type="dxa"/>
            </w:tcMar>
            <w:hideMark/>
          </w:tcPr>
          <w:p w14:paraId="462B6003" w14:textId="5A9A91D3" w:rsidR="007D07DC" w:rsidRPr="00FC4067" w:rsidRDefault="007D07DC" w:rsidP="00FC4067">
            <w:pPr>
              <w:shd w:val="clear" w:color="auto" w:fill="FFFFFF" w:themeFill="background1"/>
            </w:pPr>
            <w:r w:rsidRPr="00FC4067">
              <w:t>19,910</w:t>
            </w:r>
          </w:p>
        </w:tc>
      </w:tr>
      <w:tr w:rsidR="007D07DC" w:rsidRPr="00FC4067" w14:paraId="4356D6D4" w14:textId="77777777" w:rsidTr="74C4DED9">
        <w:tc>
          <w:tcPr>
            <w:tcW w:w="1566" w:type="dxa"/>
            <w:tcMar>
              <w:top w:w="0" w:type="dxa"/>
              <w:left w:w="108" w:type="dxa"/>
              <w:bottom w:w="0" w:type="dxa"/>
              <w:right w:w="108" w:type="dxa"/>
            </w:tcMar>
            <w:hideMark/>
          </w:tcPr>
          <w:p w14:paraId="28971CFA" w14:textId="77777777" w:rsidR="007D07DC" w:rsidRPr="00FC4067" w:rsidRDefault="007D07DC" w:rsidP="00FC4067">
            <w:pPr>
              <w:shd w:val="clear" w:color="auto" w:fill="FFFFFF" w:themeFill="background1"/>
            </w:pPr>
            <w:r w:rsidRPr="00FC4067">
              <w:t>By phone</w:t>
            </w:r>
          </w:p>
        </w:tc>
        <w:tc>
          <w:tcPr>
            <w:tcW w:w="1182" w:type="dxa"/>
          </w:tcPr>
          <w:p w14:paraId="326B3013" w14:textId="7737CEF1" w:rsidR="007D07DC" w:rsidRPr="00FC4067" w:rsidRDefault="007D07DC" w:rsidP="00FC4067">
            <w:pPr>
              <w:shd w:val="clear" w:color="auto" w:fill="FFFFFF" w:themeFill="background1"/>
            </w:pPr>
            <w:r w:rsidRPr="00FC4067">
              <w:t>34,944</w:t>
            </w:r>
          </w:p>
        </w:tc>
        <w:tc>
          <w:tcPr>
            <w:tcW w:w="1548" w:type="dxa"/>
            <w:tcMar>
              <w:top w:w="0" w:type="dxa"/>
              <w:left w:w="108" w:type="dxa"/>
              <w:bottom w:w="0" w:type="dxa"/>
              <w:right w:w="108" w:type="dxa"/>
            </w:tcMar>
            <w:hideMark/>
          </w:tcPr>
          <w:p w14:paraId="483F66C8" w14:textId="5864E9D3" w:rsidR="007D07DC" w:rsidRPr="00FC4067" w:rsidRDefault="007D07DC" w:rsidP="00FC4067">
            <w:pPr>
              <w:shd w:val="clear" w:color="auto" w:fill="FFFFFF" w:themeFill="background1"/>
            </w:pPr>
            <w:r w:rsidRPr="00FC4067">
              <w:t>27,657</w:t>
            </w:r>
          </w:p>
        </w:tc>
      </w:tr>
      <w:tr w:rsidR="002C4229" w:rsidRPr="00FC4067" w14:paraId="3500CC03" w14:textId="77777777" w:rsidTr="74C4DED9">
        <w:tc>
          <w:tcPr>
            <w:tcW w:w="1566" w:type="dxa"/>
            <w:tcMar>
              <w:top w:w="0" w:type="dxa"/>
              <w:left w:w="108" w:type="dxa"/>
              <w:bottom w:w="0" w:type="dxa"/>
              <w:right w:w="108" w:type="dxa"/>
            </w:tcMar>
          </w:tcPr>
          <w:p w14:paraId="3BF150ED" w14:textId="32563FC0" w:rsidR="002C4229" w:rsidRPr="00FC4067" w:rsidRDefault="009C4172" w:rsidP="00FC4067">
            <w:pPr>
              <w:shd w:val="clear" w:color="auto" w:fill="FFFFFF" w:themeFill="background1"/>
            </w:pPr>
            <w:r w:rsidRPr="00FC4067">
              <w:t>Total</w:t>
            </w:r>
          </w:p>
        </w:tc>
        <w:tc>
          <w:tcPr>
            <w:tcW w:w="1182" w:type="dxa"/>
          </w:tcPr>
          <w:p w14:paraId="33BA65EC" w14:textId="089EE7D1" w:rsidR="002C4229" w:rsidRPr="00FC4067" w:rsidRDefault="002C4229" w:rsidP="00FC4067">
            <w:pPr>
              <w:shd w:val="clear" w:color="auto" w:fill="FFFFFF" w:themeFill="background1"/>
            </w:pPr>
            <w:r w:rsidRPr="00FC4067">
              <w:fldChar w:fldCharType="begin"/>
            </w:r>
            <w:r w:rsidRPr="00FC4067">
              <w:instrText xml:space="preserve"> =SUM(ABOVE) </w:instrText>
            </w:r>
            <w:r w:rsidRPr="00FC4067">
              <w:fldChar w:fldCharType="separate"/>
            </w:r>
            <w:r w:rsidRPr="00FC4067">
              <w:t>66,455</w:t>
            </w:r>
            <w:r w:rsidRPr="00FC4067">
              <w:fldChar w:fldCharType="end"/>
            </w:r>
          </w:p>
        </w:tc>
        <w:tc>
          <w:tcPr>
            <w:tcW w:w="1548" w:type="dxa"/>
            <w:tcMar>
              <w:top w:w="0" w:type="dxa"/>
              <w:left w:w="108" w:type="dxa"/>
              <w:bottom w:w="0" w:type="dxa"/>
              <w:right w:w="108" w:type="dxa"/>
            </w:tcMar>
          </w:tcPr>
          <w:p w14:paraId="10E4CFB3" w14:textId="399F9432" w:rsidR="002C4229" w:rsidRPr="00FC4067" w:rsidRDefault="002C4229" w:rsidP="00FC4067">
            <w:pPr>
              <w:shd w:val="clear" w:color="auto" w:fill="FFFFFF" w:themeFill="background1"/>
            </w:pPr>
            <w:r w:rsidRPr="00FC4067">
              <w:fldChar w:fldCharType="begin"/>
            </w:r>
            <w:r w:rsidRPr="00FC4067">
              <w:instrText xml:space="preserve"> =SUM(ABOVE) </w:instrText>
            </w:r>
            <w:r w:rsidRPr="00FC4067">
              <w:fldChar w:fldCharType="separate"/>
            </w:r>
            <w:r w:rsidRPr="00FC4067">
              <w:t>57,317</w:t>
            </w:r>
            <w:r w:rsidRPr="00FC4067">
              <w:fldChar w:fldCharType="end"/>
            </w:r>
          </w:p>
        </w:tc>
      </w:tr>
    </w:tbl>
    <w:p w14:paraId="677FDB08" w14:textId="015858D4" w:rsidR="0081617D" w:rsidRPr="00FC4067" w:rsidRDefault="0081617D" w:rsidP="0004270E">
      <w:pPr>
        <w:pStyle w:val="Heading2"/>
      </w:pPr>
      <w:bookmarkStart w:id="54" w:name="_Toc494984640"/>
      <w:r w:rsidRPr="00FC4067">
        <w:t>External Reviews</w:t>
      </w:r>
      <w:bookmarkEnd w:id="53"/>
      <w:bookmarkEnd w:id="54"/>
    </w:p>
    <w:p w14:paraId="0689DCAF" w14:textId="7F34C432" w:rsidR="00540A85" w:rsidRPr="00FC4067" w:rsidRDefault="00540A85" w:rsidP="00792F33">
      <w:pPr>
        <w:pStyle w:val="ARHeading4"/>
      </w:pPr>
      <w:r w:rsidRPr="00FC4067">
        <w:t xml:space="preserve">Queensland Government </w:t>
      </w:r>
      <w:r w:rsidR="002B04B6">
        <w:t>P</w:t>
      </w:r>
      <w:r w:rsidRPr="00FC4067">
        <w:t>rocurement</w:t>
      </w:r>
    </w:p>
    <w:p w14:paraId="61214DEF" w14:textId="0248CAC9" w:rsidR="00903206" w:rsidRPr="00FC4067" w:rsidRDefault="00903206" w:rsidP="00FC4067">
      <w:pPr>
        <w:shd w:val="clear" w:color="auto" w:fill="FFFFFF" w:themeFill="background1"/>
      </w:pPr>
      <w:r w:rsidRPr="00FC4067">
        <w:t>In 2015</w:t>
      </w:r>
      <w:r w:rsidR="007436D3">
        <w:t>,</w:t>
      </w:r>
      <w:r w:rsidRPr="00FC4067">
        <w:t xml:space="preserve"> an Interdepartmental Committee (IDC) conducted a review into Queensland Government procurement to ensure that value for money, probity and local content remained at the forefront of government procurement practices. The IDC report was published in April 2016. </w:t>
      </w:r>
    </w:p>
    <w:p w14:paraId="55B7AF0D" w14:textId="7C4C3A10" w:rsidR="00903206" w:rsidRPr="00FC4067" w:rsidRDefault="00903206" w:rsidP="00FC4067">
      <w:pPr>
        <w:shd w:val="clear" w:color="auto" w:fill="FFFFFF" w:themeFill="background1"/>
      </w:pPr>
      <w:r w:rsidRPr="00FC4067">
        <w:t xml:space="preserve">Following the IDC report, the </w:t>
      </w:r>
      <w:r w:rsidR="005C41FA">
        <w:t>Queensland Audit Office (</w:t>
      </w:r>
      <w:r w:rsidRPr="00FC4067">
        <w:t>QAO</w:t>
      </w:r>
      <w:r w:rsidR="005C41FA">
        <w:t>)</w:t>
      </w:r>
      <w:r w:rsidRPr="00FC4067">
        <w:t xml:space="preserve"> conducted an audit on strategic procurement, which identified a failure to realise benefits under the former Procurement Transformation Program (2013</w:t>
      </w:r>
      <w:r w:rsidR="00BB263B">
        <w:t>–</w:t>
      </w:r>
      <w:r w:rsidRPr="00FC4067">
        <w:t xml:space="preserve">2015). Findings of both the IDC and QAO also identified issues with procurement data, systems and capability. </w:t>
      </w:r>
    </w:p>
    <w:p w14:paraId="02C36EC7" w14:textId="3D95AA4C" w:rsidR="00903206" w:rsidRPr="00FC4067" w:rsidRDefault="00903206" w:rsidP="00FC4067">
      <w:pPr>
        <w:shd w:val="clear" w:color="auto" w:fill="FFFFFF" w:themeFill="background1"/>
      </w:pPr>
      <w:r w:rsidRPr="00FC4067">
        <w:t>To address the findings</w:t>
      </w:r>
      <w:r w:rsidR="00540A85" w:rsidRPr="00FC4067">
        <w:t>,</w:t>
      </w:r>
      <w:r w:rsidRPr="00FC4067">
        <w:t xml:space="preserve"> we continued our commitment to improve procurement across government by: </w:t>
      </w:r>
    </w:p>
    <w:p w14:paraId="1E7D6EBC" w14:textId="77777777" w:rsidR="00903206" w:rsidRPr="00FC4067" w:rsidRDefault="00903206" w:rsidP="00096C6C">
      <w:pPr>
        <w:pStyle w:val="Bullets"/>
      </w:pPr>
      <w:r w:rsidRPr="00FC4067">
        <w:t>establishing a new governance model to drive accountability and performance</w:t>
      </w:r>
    </w:p>
    <w:p w14:paraId="4D0DDCBE" w14:textId="77777777" w:rsidR="00903206" w:rsidRPr="00FC4067" w:rsidRDefault="00903206" w:rsidP="00096C6C">
      <w:pPr>
        <w:pStyle w:val="Bullets"/>
      </w:pPr>
      <w:r w:rsidRPr="00FC4067">
        <w:t>making enhancements to procurement data to support better procurement decision making</w:t>
      </w:r>
    </w:p>
    <w:p w14:paraId="27DA4994" w14:textId="77777777" w:rsidR="00903206" w:rsidRPr="00FC4067" w:rsidRDefault="00903206" w:rsidP="00096C6C">
      <w:pPr>
        <w:pStyle w:val="Bullets"/>
      </w:pPr>
      <w:r w:rsidRPr="00FC4067">
        <w:t>developing forward pipelines for procurement categories</w:t>
      </w:r>
    </w:p>
    <w:p w14:paraId="68192563" w14:textId="40F7552D" w:rsidR="00920389" w:rsidRPr="00FC4067" w:rsidRDefault="00903206" w:rsidP="00096C6C">
      <w:pPr>
        <w:pStyle w:val="Bullets"/>
      </w:pPr>
      <w:r w:rsidRPr="00FC4067">
        <w:t xml:space="preserve">continuing to support improved sourcing and contract management capability across the sector. </w:t>
      </w:r>
    </w:p>
    <w:p w14:paraId="41FB1D67" w14:textId="3F04A454" w:rsidR="008B78C7" w:rsidRPr="00FC4067" w:rsidRDefault="008B78C7" w:rsidP="00792F33">
      <w:pPr>
        <w:pStyle w:val="ARHeading4"/>
      </w:pPr>
      <w:r w:rsidRPr="00FC4067">
        <w:t>Other reviews</w:t>
      </w:r>
    </w:p>
    <w:p w14:paraId="05D1D90D" w14:textId="21909043" w:rsidR="008B78C7" w:rsidRPr="00FC4067" w:rsidRDefault="008B78C7" w:rsidP="00FC4067">
      <w:pPr>
        <w:shd w:val="clear" w:color="auto" w:fill="FFFFFF" w:themeFill="background1"/>
      </w:pPr>
      <w:r w:rsidRPr="00FC4067">
        <w:t>In 2016–17, the department was involved in several external reviews including:</w:t>
      </w:r>
    </w:p>
    <w:p w14:paraId="2B3B1525" w14:textId="14C179CC" w:rsidR="00F75376" w:rsidRPr="00FC4067" w:rsidRDefault="00F75376" w:rsidP="00096C6C">
      <w:pPr>
        <w:pStyle w:val="Bullets"/>
      </w:pPr>
      <w:r w:rsidRPr="00FC4067">
        <w:t xml:space="preserve">Auditor-General of Queensland: Report to Parliament No. 8: </w:t>
      </w:r>
      <w:r w:rsidR="000C39C3" w:rsidRPr="00FC4067">
        <w:t>2016–17</w:t>
      </w:r>
      <w:r w:rsidRPr="00FC4067">
        <w:t xml:space="preserve"> – </w:t>
      </w:r>
      <w:r w:rsidRPr="00FC4067">
        <w:rPr>
          <w:i/>
        </w:rPr>
        <w:t xml:space="preserve">Queensland state government: </w:t>
      </w:r>
      <w:r w:rsidR="000C39C3" w:rsidRPr="00FC4067">
        <w:rPr>
          <w:i/>
        </w:rPr>
        <w:t>2015–16</w:t>
      </w:r>
      <w:r w:rsidRPr="00FC4067">
        <w:rPr>
          <w:i/>
        </w:rPr>
        <w:t xml:space="preserve"> results of financial audits</w:t>
      </w:r>
      <w:r w:rsidR="00AC1131">
        <w:rPr>
          <w:i/>
        </w:rPr>
        <w:t>:</w:t>
      </w:r>
    </w:p>
    <w:p w14:paraId="4015B971" w14:textId="135C831B" w:rsidR="00B77E54" w:rsidRPr="00FC4067" w:rsidRDefault="0048098A" w:rsidP="00096C6C">
      <w:pPr>
        <w:pStyle w:val="ARsub-bullets"/>
      </w:pPr>
      <w:r>
        <w:t>t</w:t>
      </w:r>
      <w:r w:rsidR="00B77E54" w:rsidRPr="00FC4067">
        <w:t xml:space="preserve">he department obtained an unmodified audit opinion on the </w:t>
      </w:r>
      <w:r w:rsidR="000C39C3" w:rsidRPr="00FC4067">
        <w:t>2015–16</w:t>
      </w:r>
      <w:r w:rsidR="00B77E54" w:rsidRPr="00FC4067">
        <w:t xml:space="preserve"> financial statements.</w:t>
      </w:r>
    </w:p>
    <w:p w14:paraId="69480ACE" w14:textId="5F1E700F" w:rsidR="00F75376" w:rsidRPr="00FC4067" w:rsidRDefault="00F75376" w:rsidP="00096C6C">
      <w:pPr>
        <w:pStyle w:val="Bullets"/>
      </w:pPr>
      <w:r w:rsidRPr="00FC4067">
        <w:t xml:space="preserve">Auditor-General of Queensland: Report to Parliament No. 16: </w:t>
      </w:r>
      <w:r w:rsidR="000C39C3" w:rsidRPr="00FC4067">
        <w:t>2016–17</w:t>
      </w:r>
      <w:r w:rsidRPr="00FC4067">
        <w:t xml:space="preserve"> – </w:t>
      </w:r>
      <w:r w:rsidRPr="00FC4067">
        <w:rPr>
          <w:i/>
        </w:rPr>
        <w:t xml:space="preserve">Government </w:t>
      </w:r>
      <w:r w:rsidR="000815CB" w:rsidRPr="00FC4067">
        <w:rPr>
          <w:i/>
        </w:rPr>
        <w:t>a</w:t>
      </w:r>
      <w:r w:rsidRPr="00FC4067">
        <w:rPr>
          <w:i/>
        </w:rPr>
        <w:t>dvertising</w:t>
      </w:r>
      <w:r w:rsidR="00AC1131">
        <w:rPr>
          <w:i/>
        </w:rPr>
        <w:t>:</w:t>
      </w:r>
    </w:p>
    <w:p w14:paraId="099EFCC8" w14:textId="2DBDD3B4" w:rsidR="00F75376" w:rsidRPr="00FC4067" w:rsidRDefault="0048098A" w:rsidP="00096C6C">
      <w:pPr>
        <w:pStyle w:val="ARsub-bullets"/>
      </w:pPr>
      <w:r>
        <w:t>t</w:t>
      </w:r>
      <w:r w:rsidR="00F75376" w:rsidRPr="00FC4067">
        <w:t>he department has implemented the two recommendations that were made to all government departments to strengthen the evaluation of campaign materials</w:t>
      </w:r>
      <w:r w:rsidR="00B77E54" w:rsidRPr="00FC4067">
        <w:t>.</w:t>
      </w:r>
    </w:p>
    <w:p w14:paraId="6433F228" w14:textId="1582C1B1" w:rsidR="00F75376" w:rsidRPr="00FC4067" w:rsidRDefault="00F75376" w:rsidP="00D675BC">
      <w:pPr>
        <w:pStyle w:val="Bullets"/>
      </w:pPr>
      <w:bookmarkStart w:id="55" w:name="_Hlk490817005"/>
      <w:r w:rsidRPr="00FC4067">
        <w:t xml:space="preserve">Auditor-General of Queensland: Report to Parliament No. 17: </w:t>
      </w:r>
      <w:r w:rsidR="000C39C3" w:rsidRPr="00FC4067">
        <w:t>2016–17</w:t>
      </w:r>
      <w:r w:rsidRPr="00FC4067">
        <w:t xml:space="preserve"> – </w:t>
      </w:r>
      <w:r w:rsidRPr="00FC4067">
        <w:rPr>
          <w:i/>
        </w:rPr>
        <w:t>Organisational structure and accountability</w:t>
      </w:r>
      <w:r w:rsidR="00AC1131">
        <w:rPr>
          <w:i/>
        </w:rPr>
        <w:t>:</w:t>
      </w:r>
    </w:p>
    <w:p w14:paraId="62E55003" w14:textId="5DE4B8C7" w:rsidR="00B77E54" w:rsidRPr="00FC4067" w:rsidRDefault="0048098A" w:rsidP="00E05961">
      <w:pPr>
        <w:pStyle w:val="ARsub-bullets"/>
      </w:pPr>
      <w:r>
        <w:t>a</w:t>
      </w:r>
      <w:r w:rsidR="00B77E54" w:rsidRPr="00FC4067">
        <w:t>ssessment of the recommendations indicates the department’s organisational structure and alignment of strategic objectives, activities and roles is appropriate</w:t>
      </w:r>
    </w:p>
    <w:p w14:paraId="7BFB981D" w14:textId="2A91863B" w:rsidR="00B77E54" w:rsidRPr="00FC4067" w:rsidRDefault="0048098A">
      <w:pPr>
        <w:pStyle w:val="ARsub-bullets"/>
      </w:pPr>
      <w:r>
        <w:t>t</w:t>
      </w:r>
      <w:r w:rsidR="00B77E54" w:rsidRPr="00FC4067">
        <w:t>he department will review its planning and reporting processes to identify opportunities to further strengthen strategic performance</w:t>
      </w:r>
      <w:bookmarkEnd w:id="55"/>
      <w:r w:rsidR="00B77E54" w:rsidRPr="00FC4067">
        <w:t>.</w:t>
      </w:r>
    </w:p>
    <w:p w14:paraId="0E465567" w14:textId="099077E5" w:rsidR="00213EB0" w:rsidRPr="00FC4067" w:rsidRDefault="00213EB0">
      <w:pPr>
        <w:pStyle w:val="Bullets"/>
        <w:numPr>
          <w:ilvl w:val="0"/>
          <w:numId w:val="0"/>
        </w:numPr>
        <w:ind w:left="360"/>
      </w:pPr>
    </w:p>
    <w:p w14:paraId="1B0B4580" w14:textId="055B4219" w:rsidR="0081617D" w:rsidRPr="00FC4067" w:rsidRDefault="0081617D" w:rsidP="00FC4067">
      <w:pPr>
        <w:shd w:val="clear" w:color="auto" w:fill="FFFFFF" w:themeFill="background1"/>
      </w:pPr>
      <w:r w:rsidRPr="00FC4067">
        <w:t xml:space="preserve">The department responds to recommendations made </w:t>
      </w:r>
      <w:r w:rsidR="0016324E" w:rsidRPr="00FC4067">
        <w:t xml:space="preserve">by Coroners </w:t>
      </w:r>
      <w:r w:rsidRPr="00FC4067">
        <w:t>i</w:t>
      </w:r>
      <w:r w:rsidR="00213EB0" w:rsidRPr="00FC4067">
        <w:t xml:space="preserve">n findings of inquests. In </w:t>
      </w:r>
      <w:r w:rsidR="0016324E" w:rsidRPr="00FC4067">
        <w:t>2016</w:t>
      </w:r>
      <w:r w:rsidR="00F75376" w:rsidRPr="00FC4067">
        <w:t>–</w:t>
      </w:r>
      <w:r w:rsidR="0016324E" w:rsidRPr="00FC4067">
        <w:t>17</w:t>
      </w:r>
      <w:r w:rsidR="00B35BF0" w:rsidRPr="00FC4067">
        <w:t>,</w:t>
      </w:r>
      <w:r w:rsidR="0016324E" w:rsidRPr="00FC4067">
        <w:t xml:space="preserve"> the department</w:t>
      </w:r>
      <w:r w:rsidRPr="00FC4067">
        <w:t>:</w:t>
      </w:r>
    </w:p>
    <w:p w14:paraId="1A75F946" w14:textId="3371BAD8" w:rsidR="0081617D" w:rsidRPr="00FC4067" w:rsidRDefault="00B35BF0" w:rsidP="00096C6C">
      <w:pPr>
        <w:pStyle w:val="Bullets"/>
      </w:pPr>
      <w:r w:rsidRPr="00FC4067">
        <w:t>f</w:t>
      </w:r>
      <w:r w:rsidR="0016324E" w:rsidRPr="00FC4067">
        <w:t>inalised three remaining recommendations which had to be addressed from a 2012 inquest regarding inspection and maintenance of rental properties</w:t>
      </w:r>
    </w:p>
    <w:p w14:paraId="3AE8A7A1" w14:textId="735DBA7F" w:rsidR="0081617D" w:rsidRPr="00FC4067" w:rsidRDefault="00B35BF0" w:rsidP="00096C6C">
      <w:pPr>
        <w:pStyle w:val="Bullets"/>
      </w:pPr>
      <w:r w:rsidRPr="00FC4067">
        <w:t>a</w:t>
      </w:r>
      <w:r w:rsidR="0081617D" w:rsidRPr="00FC4067">
        <w:t>s lead agency</w:t>
      </w:r>
      <w:r w:rsidRPr="00FC4067">
        <w:t>,</w:t>
      </w:r>
      <w:r w:rsidR="0081617D" w:rsidRPr="00FC4067">
        <w:t xml:space="preserve"> provided </w:t>
      </w:r>
      <w:r w:rsidR="0016324E" w:rsidRPr="00FC4067">
        <w:t xml:space="preserve">two </w:t>
      </w:r>
      <w:r w:rsidR="0081617D" w:rsidRPr="00FC4067">
        <w:t>implementation update</w:t>
      </w:r>
      <w:r w:rsidR="0016324E" w:rsidRPr="00FC4067">
        <w:t>s</w:t>
      </w:r>
      <w:r w:rsidR="0081617D" w:rsidRPr="00FC4067">
        <w:t xml:space="preserve"> for one recommendation from a 2014 inquest dealing with fire safety in farmstay accommodation </w:t>
      </w:r>
    </w:p>
    <w:p w14:paraId="60CAD95E" w14:textId="613118DB" w:rsidR="002471DD" w:rsidRPr="00FC4067" w:rsidRDefault="00E323AC" w:rsidP="00096C6C">
      <w:pPr>
        <w:pStyle w:val="Bullets"/>
      </w:pPr>
      <w:r w:rsidRPr="00FC4067">
        <w:t>a</w:t>
      </w:r>
      <w:r w:rsidR="002471DD" w:rsidRPr="00FC4067">
        <w:t>s lead agency</w:t>
      </w:r>
      <w:r w:rsidRPr="00FC4067">
        <w:t>,</w:t>
      </w:r>
      <w:r w:rsidR="002471DD" w:rsidRPr="00FC4067">
        <w:t xml:space="preserve"> provided a response to one recommendation from a 2015 inquest relating to electrocution, which was relevant to the Queensland Building and Construction Commission</w:t>
      </w:r>
      <w:r w:rsidRPr="00FC4067">
        <w:t xml:space="preserve"> – l</w:t>
      </w:r>
      <w:r w:rsidR="002471DD" w:rsidRPr="00FC4067">
        <w:t xml:space="preserve">egislative amendments relevant to the matter were subsequently contained in the </w:t>
      </w:r>
      <w:r w:rsidR="002471DD" w:rsidRPr="00FC4067">
        <w:rPr>
          <w:i/>
          <w:iCs/>
        </w:rPr>
        <w:t xml:space="preserve">Building and Construction </w:t>
      </w:r>
      <w:r w:rsidR="002471DD" w:rsidRPr="00FC4067">
        <w:rPr>
          <w:i/>
          <w:iCs/>
        </w:rPr>
        <w:lastRenderedPageBreak/>
        <w:t>Legislation (Non-conforming Building Products—Chain of Responsibility and Other Matters) Amendment Bill 2017</w:t>
      </w:r>
      <w:r w:rsidR="002471DD" w:rsidRPr="00FC4067">
        <w:t xml:space="preserve"> introduced into Parliament in May 2017 by the Minister for Housing and Public Works and Minister for Sport</w:t>
      </w:r>
    </w:p>
    <w:p w14:paraId="68F954B0" w14:textId="22EF703D" w:rsidR="00963E47" w:rsidRPr="00FC4067" w:rsidRDefault="00E323AC" w:rsidP="00096C6C">
      <w:pPr>
        <w:pStyle w:val="Bullets"/>
      </w:pPr>
      <w:r w:rsidRPr="00FC4067">
        <w:t>p</w:t>
      </w:r>
      <w:r w:rsidR="00963E47" w:rsidRPr="00FC4067">
        <w:t>rogressed a comprehensive response to a 2016 inquest regarding pool safety</w:t>
      </w:r>
    </w:p>
    <w:p w14:paraId="4032D4B4" w14:textId="44E4F936" w:rsidR="00963E47" w:rsidRPr="00FC4067" w:rsidRDefault="00E323AC" w:rsidP="00096C6C">
      <w:pPr>
        <w:pStyle w:val="Bullets"/>
      </w:pPr>
      <w:r w:rsidRPr="00FC4067">
        <w:t>c</w:t>
      </w:r>
      <w:r w:rsidR="00963E47" w:rsidRPr="00FC4067">
        <w:t xml:space="preserve">onsulted extensively with respect to four recommendations from a 2016 inquest relevant to building industry inspections and standards (relating to awnings), with responses to each recommendation to be provided during </w:t>
      </w:r>
      <w:r w:rsidR="000D06AB" w:rsidRPr="00FC4067">
        <w:t>2017–18</w:t>
      </w:r>
    </w:p>
    <w:p w14:paraId="3D2B7F4F" w14:textId="0F203DA4" w:rsidR="00963E47" w:rsidRPr="00FC4067" w:rsidRDefault="00E323AC" w:rsidP="00D675BC">
      <w:pPr>
        <w:pStyle w:val="Bullets"/>
      </w:pPr>
      <w:r w:rsidRPr="00FC4067">
        <w:t>r</w:t>
      </w:r>
      <w:r w:rsidR="00963E47" w:rsidRPr="00FC4067">
        <w:t xml:space="preserve">esponded to requirements for information in 13 coronial investigations into deaths that occurred at various level </w:t>
      </w:r>
      <w:r w:rsidR="0075400B" w:rsidRPr="00FC4067">
        <w:t>three</w:t>
      </w:r>
      <w:r w:rsidR="00963E47" w:rsidRPr="00FC4067">
        <w:t xml:space="preserve"> residential services</w:t>
      </w:r>
      <w:r w:rsidR="0075400B" w:rsidRPr="00FC4067">
        <w:t>,</w:t>
      </w:r>
      <w:r w:rsidR="00963E47" w:rsidRPr="00FC4067">
        <w:t xml:space="preserve"> </w:t>
      </w:r>
      <w:r w:rsidR="006701D1" w:rsidRPr="00FC4067">
        <w:t xml:space="preserve">which are </w:t>
      </w:r>
      <w:r w:rsidR="00963E47" w:rsidRPr="00FC4067">
        <w:t>regulated by the department</w:t>
      </w:r>
    </w:p>
    <w:p w14:paraId="0B27BC5D" w14:textId="3DB0EC75" w:rsidR="00963E47" w:rsidRPr="00FC4067" w:rsidRDefault="00963E47" w:rsidP="00E05961">
      <w:pPr>
        <w:pStyle w:val="Bullets"/>
      </w:pPr>
      <w:r w:rsidRPr="00FC4067">
        <w:t xml:space="preserve">provided information and assistance for a coronial inquest concerning an electrocution in a college building in Bentley Park, North Queensland, the findings of which are expected to be handed down in </w:t>
      </w:r>
      <w:r w:rsidR="004B4910" w:rsidRPr="00FC4067">
        <w:t>2017–18</w:t>
      </w:r>
      <w:r w:rsidRPr="00FC4067">
        <w:t>.</w:t>
      </w:r>
    </w:p>
    <w:p w14:paraId="2868EDCC" w14:textId="62E9681C" w:rsidR="0081617D" w:rsidRPr="00FC4067" w:rsidRDefault="0081617D" w:rsidP="0004270E">
      <w:pPr>
        <w:pStyle w:val="Heading2"/>
      </w:pPr>
      <w:bookmarkStart w:id="56" w:name="_Toc464823679"/>
      <w:bookmarkStart w:id="57" w:name="_Toc494984641"/>
      <w:r w:rsidRPr="00FC4067">
        <w:t>Whole-</w:t>
      </w:r>
      <w:r w:rsidR="003E1D01">
        <w:t>o</w:t>
      </w:r>
      <w:r w:rsidRPr="00FC4067">
        <w:t>f-Government Plans and Specific Initiatives</w:t>
      </w:r>
      <w:bookmarkEnd w:id="56"/>
      <w:bookmarkEnd w:id="57"/>
    </w:p>
    <w:p w14:paraId="115954EF" w14:textId="476C14AD" w:rsidR="003E21EB" w:rsidRPr="00FC4067" w:rsidRDefault="00693FB3" w:rsidP="00096C6C">
      <w:pPr>
        <w:pStyle w:val="Bullets"/>
        <w:numPr>
          <w:ilvl w:val="0"/>
          <w:numId w:val="0"/>
        </w:numPr>
      </w:pPr>
      <w:r w:rsidRPr="00FC4067">
        <w:t xml:space="preserve">In </w:t>
      </w:r>
      <w:r w:rsidR="000C39C3" w:rsidRPr="00FC4067">
        <w:t>2016–17</w:t>
      </w:r>
      <w:r w:rsidR="002E4C48" w:rsidRPr="00FC4067">
        <w:t>,</w:t>
      </w:r>
      <w:r w:rsidRPr="00FC4067">
        <w:t xml:space="preserve"> the department</w:t>
      </w:r>
      <w:r w:rsidR="005333DF" w:rsidRPr="00FC4067">
        <w:t>:</w:t>
      </w:r>
    </w:p>
    <w:p w14:paraId="0A1CBB0A" w14:textId="4FC1F5F1" w:rsidR="00894D6F" w:rsidRPr="00FC4067" w:rsidRDefault="007F5F9B" w:rsidP="00096C6C">
      <w:pPr>
        <w:pStyle w:val="Bullets"/>
      </w:pPr>
      <w:r w:rsidRPr="00FC4067">
        <w:t xml:space="preserve">worked </w:t>
      </w:r>
      <w:r w:rsidR="00894D6F" w:rsidRPr="00FC4067">
        <w:t>with other government departments and agencies in</w:t>
      </w:r>
      <w:r w:rsidR="00894D6F" w:rsidRPr="00FC4067">
        <w:rPr>
          <w:strike/>
        </w:rPr>
        <w:t xml:space="preserve"> </w:t>
      </w:r>
      <w:r w:rsidR="00894D6F" w:rsidRPr="00FC4067">
        <w:t xml:space="preserve">responding to the issues raised by the use of non-conforming building products. This included working with the </w:t>
      </w:r>
      <w:r w:rsidR="001F0223" w:rsidRPr="00FC4067">
        <w:t>Australian Government</w:t>
      </w:r>
      <w:r w:rsidR="00894D6F" w:rsidRPr="00FC4067">
        <w:t xml:space="preserve">, and other </w:t>
      </w:r>
      <w:r w:rsidR="006249DA" w:rsidRPr="00FC4067">
        <w:t>s</w:t>
      </w:r>
      <w:r w:rsidR="00894D6F" w:rsidRPr="00FC4067">
        <w:t xml:space="preserve">tates and </w:t>
      </w:r>
      <w:r w:rsidR="006249DA" w:rsidRPr="00FC4067">
        <w:t>t</w:t>
      </w:r>
      <w:r w:rsidR="00894D6F" w:rsidRPr="00FC4067">
        <w:t>erritories on the progression of responses at a national level, culminating in the introduction of legislation in Queensland</w:t>
      </w:r>
      <w:r w:rsidR="008E6D27" w:rsidRPr="00FC4067">
        <w:t xml:space="preserve">. </w:t>
      </w:r>
      <w:r w:rsidR="00894D6F" w:rsidRPr="00FC4067">
        <w:t xml:space="preserve">It also included the department working closely with the Queensland Building and Construction Commission, </w:t>
      </w:r>
      <w:r w:rsidR="005919AC" w:rsidRPr="00FC4067">
        <w:t xml:space="preserve">the </w:t>
      </w:r>
      <w:r w:rsidR="00894D6F" w:rsidRPr="00FC4067">
        <w:t xml:space="preserve">Queensland Fire and Emergency Services, the Department of Infrastructure Local Government and Planning and central agencies (Premier and Cabinet and Queensland Treasury). The focus of this work ultimately led to </w:t>
      </w:r>
      <w:r w:rsidR="00894D6F" w:rsidRPr="00FC4067">
        <w:t>the establishment of a non-conforming products departmental committee and taskforce in response to fire safety risks surrounding external cladding</w:t>
      </w:r>
    </w:p>
    <w:p w14:paraId="75F831DA" w14:textId="0445AF8C" w:rsidR="00FE47F2" w:rsidRPr="00FC4067" w:rsidRDefault="00FE47F2" w:rsidP="00096C6C">
      <w:pPr>
        <w:pStyle w:val="Bullets"/>
      </w:pPr>
      <w:r w:rsidRPr="00FC4067">
        <w:t>worked closely with the Department of Infrastructure, Local Government and Planning and other key built infrastructure asset owning agencies to develop the Building Information Modelling (BIM) draft policy and principles for Queensland</w:t>
      </w:r>
      <w:r w:rsidR="00123415" w:rsidRPr="00FC4067">
        <w:t xml:space="preserve">. This will </w:t>
      </w:r>
      <w:r w:rsidRPr="00FC4067">
        <w:t xml:space="preserve">support </w:t>
      </w:r>
      <w:r w:rsidR="008937DB" w:rsidRPr="00FC4067">
        <w:t xml:space="preserve">the </w:t>
      </w:r>
      <w:r w:rsidR="00FF2470" w:rsidRPr="00FC4067">
        <w:t>state’s</w:t>
      </w:r>
      <w:r w:rsidR="008937DB" w:rsidRPr="00FC4067">
        <w:t xml:space="preserve"> </w:t>
      </w:r>
      <w:r w:rsidRPr="00FC4067">
        <w:t>initiative to progressively implement the use of BIM on all major infrastructure projects by 2023</w:t>
      </w:r>
    </w:p>
    <w:p w14:paraId="59706FBA" w14:textId="118603BF" w:rsidR="00D2526D" w:rsidRPr="00FC4067" w:rsidRDefault="008937DB" w:rsidP="00096C6C">
      <w:pPr>
        <w:pStyle w:val="Bullets"/>
      </w:pPr>
      <w:r w:rsidRPr="00FC4067">
        <w:t xml:space="preserve">launched the </w:t>
      </w:r>
      <w:r w:rsidRPr="00FC4067">
        <w:rPr>
          <w:i/>
        </w:rPr>
        <w:t>Queensland Building Plan – A discussion paper</w:t>
      </w:r>
      <w:r w:rsidRPr="00FC4067">
        <w:t xml:space="preserve"> for industry and consumers</w:t>
      </w:r>
      <w:r w:rsidR="00D734C5">
        <w:t xml:space="preserve"> and undertook extensive consultations across Queensland</w:t>
      </w:r>
    </w:p>
    <w:p w14:paraId="1B6B83D9" w14:textId="74F5C569" w:rsidR="008B1229" w:rsidRPr="00FC4067" w:rsidRDefault="008B1229" w:rsidP="00096C6C">
      <w:pPr>
        <w:pStyle w:val="Bullets"/>
      </w:pPr>
      <w:r w:rsidRPr="00FC4067">
        <w:t>committed to the whole-of-government Moving Ahead initiative that aims to increase the economic participation of Aboriginal and Torres Strait Islander Queenslanders. We contribute to this through the Cultural Capability Action Plan 2014</w:t>
      </w:r>
      <w:r w:rsidR="00C45056" w:rsidRPr="00FC4067">
        <w:t>–</w:t>
      </w:r>
      <w:r w:rsidRPr="00FC4067">
        <w:t>17 and now the Aboriginal and Torres Strait Islander Advancement Strategy and Action Plan which will deliver outcomes for 2017</w:t>
      </w:r>
      <w:r w:rsidR="00C45056" w:rsidRPr="00FC4067">
        <w:t>–</w:t>
      </w:r>
      <w:r w:rsidRPr="00FC4067">
        <w:t>2020</w:t>
      </w:r>
    </w:p>
    <w:p w14:paraId="06ADCC2A" w14:textId="13A34AF4" w:rsidR="008C0B36" w:rsidRDefault="008B1229" w:rsidP="00096C6C">
      <w:pPr>
        <w:pStyle w:val="Bullets"/>
      </w:pPr>
      <w:r w:rsidRPr="00FC4067">
        <w:t>committed to providing graduates with the opportunity to develop their skills in a dynamic and professional environment. In addition to employing graduates as part of its two</w:t>
      </w:r>
      <w:r w:rsidR="002F611D" w:rsidRPr="00FC4067">
        <w:t>-</w:t>
      </w:r>
      <w:r w:rsidRPr="00FC4067">
        <w:t>year program</w:t>
      </w:r>
      <w:r w:rsidR="002F611D" w:rsidRPr="00FC4067">
        <w:t>, w</w:t>
      </w:r>
      <w:r w:rsidRPr="00FC4067">
        <w:t>e employ</w:t>
      </w:r>
      <w:r w:rsidR="00FF2470" w:rsidRPr="00FC4067">
        <w:t>ed</w:t>
      </w:r>
      <w:r w:rsidRPr="00FC4067">
        <w:t xml:space="preserve"> graduates under two whole</w:t>
      </w:r>
      <w:r w:rsidR="00304E68" w:rsidRPr="00FC4067">
        <w:t>-</w:t>
      </w:r>
      <w:r w:rsidRPr="00FC4067">
        <w:t>of</w:t>
      </w:r>
      <w:r w:rsidR="00304E68" w:rsidRPr="00FC4067">
        <w:t>-</w:t>
      </w:r>
      <w:r w:rsidRPr="00FC4067">
        <w:t>government graduate programs – the Policy Futures Graduate Program coordinated by the Department of the Premier and Cabinet, and the IT Graduate Program coordinated by the Department of Science, Information Technology and Information</w:t>
      </w:r>
    </w:p>
    <w:p w14:paraId="342B2BAC" w14:textId="62BFAEA5" w:rsidR="00143E91" w:rsidRPr="00134A67" w:rsidRDefault="00227337" w:rsidP="00096C6C">
      <w:pPr>
        <w:pStyle w:val="Bullets"/>
      </w:pPr>
      <w:r w:rsidRPr="00912E38">
        <w:t xml:space="preserve">supported the implementation of </w:t>
      </w:r>
      <w:r w:rsidR="00C55F2A" w:rsidRPr="00912E38">
        <w:t>the whole-of-</w:t>
      </w:r>
      <w:r w:rsidR="00B13507" w:rsidRPr="00912E38">
        <w:t>government</w:t>
      </w:r>
      <w:r w:rsidRPr="00912E38">
        <w:t xml:space="preserve"> Domestic and Family Violence Prevention Strategy and the Government’s response to the </w:t>
      </w:r>
      <w:r w:rsidR="00AE4225" w:rsidRPr="00912E38">
        <w:t>r</w:t>
      </w:r>
      <w:r w:rsidRPr="00912E38">
        <w:t>eport from the Taskforce on Domestic and Family Violence in Queensland</w:t>
      </w:r>
      <w:r w:rsidR="00667DC6" w:rsidRPr="00912E38">
        <w:t xml:space="preserve"> through </w:t>
      </w:r>
      <w:r w:rsidR="005864B3" w:rsidRPr="00912E38">
        <w:t>a range of initiatives</w:t>
      </w:r>
      <w:r w:rsidRPr="00912E38">
        <w:t>.</w:t>
      </w:r>
    </w:p>
    <w:p w14:paraId="03927A8B" w14:textId="77777777" w:rsidR="00C84F25" w:rsidRPr="00FC4067" w:rsidRDefault="00C84F25" w:rsidP="00792F33">
      <w:pPr>
        <w:pStyle w:val="ARHeading4"/>
        <w:rPr>
          <w:specVanish/>
        </w:rPr>
      </w:pPr>
      <w:r w:rsidRPr="00FC4067">
        <w:t>Queensland Housing Strategy</w:t>
      </w:r>
    </w:p>
    <w:p w14:paraId="01AF6DA0" w14:textId="3F1586D5" w:rsidR="00FA3AA8" w:rsidRPr="00FC4067" w:rsidRDefault="00C84F25" w:rsidP="00096C6C">
      <w:pPr>
        <w:pStyle w:val="Bullets"/>
        <w:numPr>
          <w:ilvl w:val="0"/>
          <w:numId w:val="0"/>
        </w:numPr>
      </w:pPr>
      <w:r w:rsidRPr="00FC4067">
        <w:t>The whole</w:t>
      </w:r>
      <w:r w:rsidR="002479DC" w:rsidRPr="00FC4067">
        <w:t>-</w:t>
      </w:r>
      <w:r w:rsidRPr="00FC4067">
        <w:t>of</w:t>
      </w:r>
      <w:r w:rsidR="002479DC" w:rsidRPr="00FC4067">
        <w:t>-</w:t>
      </w:r>
      <w:r w:rsidRPr="00FC4067">
        <w:t xml:space="preserve">government </w:t>
      </w:r>
      <w:r w:rsidRPr="00FC4067">
        <w:rPr>
          <w:i/>
        </w:rPr>
        <w:t xml:space="preserve">Queensland Housing Strategy </w:t>
      </w:r>
      <w:r w:rsidR="002479DC" w:rsidRPr="00FC4067">
        <w:rPr>
          <w:i/>
        </w:rPr>
        <w:t xml:space="preserve">2017–2020 </w:t>
      </w:r>
      <w:r w:rsidRPr="00FC4067">
        <w:rPr>
          <w:i/>
        </w:rPr>
        <w:t>Action Plan</w:t>
      </w:r>
      <w:r w:rsidRPr="00FC4067">
        <w:t xml:space="preserve"> </w:t>
      </w:r>
      <w:r w:rsidRPr="00FC4067">
        <w:lastRenderedPageBreak/>
        <w:t>was developed and released and includes, a number of actions that will require whole</w:t>
      </w:r>
      <w:r w:rsidR="002479DC" w:rsidRPr="00FC4067">
        <w:t>-</w:t>
      </w:r>
      <w:r w:rsidRPr="00FC4067">
        <w:t>of</w:t>
      </w:r>
      <w:r w:rsidR="002479DC" w:rsidRPr="00FC4067">
        <w:t>-</w:t>
      </w:r>
      <w:r w:rsidRPr="00FC4067">
        <w:t>government engagement. Delivery of actions will involve joint work with a range of other departments including Queensland Treasury, the Department of the Premier and Cabinet, the Department of Aboriginal and Torres Strait Islander Partnerships, the Department of Communities, Child Safety and Disability Services, and the Department of Infrastructure, Local Government and Planning.</w:t>
      </w:r>
    </w:p>
    <w:p w14:paraId="43BCC097" w14:textId="77777777" w:rsidR="00C84F25" w:rsidRPr="00FC4067" w:rsidRDefault="00C84F25" w:rsidP="00792F33">
      <w:pPr>
        <w:pStyle w:val="ARHeading4"/>
      </w:pPr>
      <w:r w:rsidRPr="00FC4067">
        <w:t>Significant Regional Infrastructure Projects Program (SRIPP)</w:t>
      </w:r>
    </w:p>
    <w:p w14:paraId="3B354B1B" w14:textId="7AC3A01E" w:rsidR="00C84F25" w:rsidRPr="00FC4067" w:rsidRDefault="00906757" w:rsidP="00FC4067">
      <w:pPr>
        <w:shd w:val="clear" w:color="auto" w:fill="FFFFFF" w:themeFill="background1"/>
      </w:pPr>
      <w:r w:rsidRPr="00FC4067">
        <w:t>The Sig</w:t>
      </w:r>
      <w:r w:rsidR="00620848" w:rsidRPr="00FC4067">
        <w:t xml:space="preserve">nificant Regional Infrastructure Projects Program was </w:t>
      </w:r>
      <w:r w:rsidR="00157937" w:rsidRPr="00FC4067">
        <w:t>announced as part of the State Infrastructure Fund</w:t>
      </w:r>
      <w:r w:rsidR="005F13AE" w:rsidRPr="00FC4067">
        <w:t xml:space="preserve"> as</w:t>
      </w:r>
      <w:r w:rsidR="00CE184A" w:rsidRPr="00FC4067">
        <w:t xml:space="preserve"> a </w:t>
      </w:r>
      <w:r w:rsidR="00C84F25" w:rsidRPr="00FC4067">
        <w:t>Queensland Government</w:t>
      </w:r>
      <w:r w:rsidR="00C84F25" w:rsidRPr="00FC4067">
        <w:rPr>
          <w:strike/>
        </w:rPr>
        <w:t>’s</w:t>
      </w:r>
      <w:r w:rsidR="00C84F25" w:rsidRPr="00FC4067">
        <w:t xml:space="preserve"> commitment to boost regional funding to support economic growth. The purpose of the program is to fast-track key economic/social infrastructure projects in regional centres including transport, health, housing and education infrastructure. </w:t>
      </w:r>
    </w:p>
    <w:p w14:paraId="068F1404" w14:textId="272F4175" w:rsidR="00C84F25" w:rsidRPr="00FC4067" w:rsidRDefault="00C84F25" w:rsidP="00FC4067">
      <w:pPr>
        <w:shd w:val="clear" w:color="auto" w:fill="FFFFFF" w:themeFill="background1"/>
      </w:pPr>
      <w:r w:rsidRPr="00FC4067">
        <w:t xml:space="preserve">$14.2 million of funding under the Significant Regional Infrastructure Project Program was allocated for social housing to be spent over two years. $8.251 million was expended in </w:t>
      </w:r>
      <w:r w:rsidR="000C39C3" w:rsidRPr="00FC4067">
        <w:t>2016–17</w:t>
      </w:r>
      <w:r w:rsidRPr="00FC4067">
        <w:t xml:space="preserve"> to commence construction of 44 units of accommodation of which 20 were completed.</w:t>
      </w:r>
    </w:p>
    <w:p w14:paraId="7F53888D" w14:textId="77777777" w:rsidR="0081617D" w:rsidRPr="00FC4067" w:rsidRDefault="0081617D" w:rsidP="0004270E">
      <w:pPr>
        <w:pStyle w:val="Heading2"/>
      </w:pPr>
      <w:bookmarkStart w:id="58" w:name="_Toc464823680"/>
      <w:bookmarkStart w:id="59" w:name="_Toc494984642"/>
      <w:r w:rsidRPr="00FC4067">
        <w:t>National Agreements and National</w:t>
      </w:r>
      <w:r w:rsidRPr="00FC4067">
        <w:rPr>
          <w:rStyle w:val="bold0"/>
          <w:rFonts w:asciiTheme="majorHAnsi" w:hAnsiTheme="majorHAnsi"/>
        </w:rPr>
        <w:t xml:space="preserve"> </w:t>
      </w:r>
      <w:r w:rsidRPr="00FC4067">
        <w:t>Partnership Agreements</w:t>
      </w:r>
      <w:bookmarkEnd w:id="58"/>
      <w:bookmarkEnd w:id="59"/>
      <w:r w:rsidRPr="00FC4067">
        <w:t xml:space="preserve"> </w:t>
      </w:r>
    </w:p>
    <w:p w14:paraId="32222EC2" w14:textId="77777777" w:rsidR="006C7776" w:rsidRPr="00FC4067" w:rsidRDefault="006C7776" w:rsidP="00FC4067">
      <w:pPr>
        <w:shd w:val="clear" w:color="auto" w:fill="FFFFFF" w:themeFill="background1"/>
      </w:pPr>
      <w:r w:rsidRPr="00FC4067">
        <w:t>In 2016–17, we worked collaboratively with other levels of government through the:</w:t>
      </w:r>
    </w:p>
    <w:p w14:paraId="161A14E9" w14:textId="3DE2A9E4" w:rsidR="00894D6F" w:rsidRPr="00FC4067" w:rsidRDefault="00894D6F" w:rsidP="00096C6C">
      <w:pPr>
        <w:pStyle w:val="Bullets"/>
      </w:pPr>
      <w:r w:rsidRPr="00FC4067">
        <w:t xml:space="preserve">Intergovernmental Agreement (IGA) between the </w:t>
      </w:r>
      <w:r w:rsidR="003314A1" w:rsidRPr="00FC4067">
        <w:t>Australian Government</w:t>
      </w:r>
      <w:r w:rsidRPr="00FC4067">
        <w:t xml:space="preserve">, </w:t>
      </w:r>
      <w:r w:rsidR="006249DA" w:rsidRPr="00FC4067">
        <w:t>s</w:t>
      </w:r>
      <w:r w:rsidRPr="00FC4067">
        <w:t xml:space="preserve">tates and </w:t>
      </w:r>
      <w:r w:rsidR="006249DA" w:rsidRPr="00FC4067">
        <w:t>t</w:t>
      </w:r>
      <w:r w:rsidRPr="00FC4067">
        <w:t xml:space="preserve">erritories that establishes the </w:t>
      </w:r>
      <w:r w:rsidRPr="00FC4067">
        <w:t>Australian Building Codes Board</w:t>
      </w:r>
      <w:r w:rsidR="008E6D27" w:rsidRPr="00FC4067">
        <w:t xml:space="preserve">. </w:t>
      </w:r>
      <w:r w:rsidRPr="00FC4067">
        <w:t>The IGA was reviewed and negotiated through the Building Ministers</w:t>
      </w:r>
      <w:r w:rsidR="00F34E2A">
        <w:t>’</w:t>
      </w:r>
      <w:r w:rsidRPr="00FC4067">
        <w:t xml:space="preserve"> Forum for expected commencement in 201</w:t>
      </w:r>
      <w:r w:rsidR="00C26118" w:rsidRPr="00FC4067">
        <w:t>8</w:t>
      </w:r>
      <w:r w:rsidRPr="00FC4067">
        <w:t xml:space="preserve">. </w:t>
      </w:r>
    </w:p>
    <w:p w14:paraId="0527148C" w14:textId="3B9C6792" w:rsidR="005F3657" w:rsidRPr="00FC4067" w:rsidRDefault="005F3657" w:rsidP="00096C6C">
      <w:pPr>
        <w:pStyle w:val="Bullets"/>
      </w:pPr>
      <w:r w:rsidRPr="00FC4067">
        <w:t xml:space="preserve">Australasian Procurement and Construction Council, which is a peak council, the members of which </w:t>
      </w:r>
      <w:r w:rsidR="00973A8F" w:rsidRPr="00FC4067">
        <w:t>are</w:t>
      </w:r>
      <w:r w:rsidRPr="00FC4067">
        <w:t xml:space="preserve"> responsible for procurement, construction, asset management and property policy delivery for the governments of Australian </w:t>
      </w:r>
      <w:r w:rsidR="00973A8F" w:rsidRPr="00FC4067">
        <w:t>s</w:t>
      </w:r>
      <w:r w:rsidRPr="00FC4067">
        <w:t xml:space="preserve">tates and </w:t>
      </w:r>
      <w:r w:rsidR="00973A8F" w:rsidRPr="00FC4067">
        <w:t>t</w:t>
      </w:r>
      <w:r w:rsidRPr="00FC4067">
        <w:t>erritories and of Papua New Guinea</w:t>
      </w:r>
    </w:p>
    <w:p w14:paraId="23965302" w14:textId="7A3E1A69" w:rsidR="00206FAC" w:rsidRPr="00FC4067" w:rsidRDefault="00206FAC" w:rsidP="00096C6C">
      <w:pPr>
        <w:pStyle w:val="Bullets"/>
      </w:pPr>
      <w:r w:rsidRPr="00FC4067">
        <w:t xml:space="preserve">National Affordable Housing Agreement (NAHA), </w:t>
      </w:r>
      <w:r w:rsidR="001F2E31" w:rsidRPr="00FC4067">
        <w:t xml:space="preserve">which </w:t>
      </w:r>
      <w:r w:rsidRPr="00FC4067">
        <w:t>provides a framework for states and territories and the Australian Government to work together to improve housing affordability and housing outcomes for Australians. Through the agreement, approximately $270 million per annum is directed by Queensland for a range of services including social housing operations, assistance to people in the private rental market, support and accommodation for people who are homeless, or at risk of homelessness</w:t>
      </w:r>
    </w:p>
    <w:p w14:paraId="58FB43C0" w14:textId="3B882E33" w:rsidR="00206FAC" w:rsidRPr="00FC4067" w:rsidRDefault="00206FAC" w:rsidP="00096C6C">
      <w:pPr>
        <w:pStyle w:val="Bullets"/>
      </w:pPr>
      <w:r w:rsidRPr="00FC4067">
        <w:t>The National Partnership on Remote Housing</w:t>
      </w:r>
      <w:r w:rsidR="004175E6" w:rsidRPr="00FC4067">
        <w:t xml:space="preserve"> (NPRH)</w:t>
      </w:r>
      <w:r w:rsidRPr="00FC4067">
        <w:t xml:space="preserve">, which provides $245.2 million from 1 July 2016 to 30 June 2018 for new housing, property and tenancy management and education, training and employment for Aboriginal and Torres Strait Islander people in remote communities. Queensland successfully achieved all agreed NPRH targets for </w:t>
      </w:r>
      <w:r w:rsidR="000C39C3" w:rsidRPr="00FC4067">
        <w:t>2016–17</w:t>
      </w:r>
      <w:r w:rsidRPr="00FC4067">
        <w:t>, with all performance benchmarks exceeded</w:t>
      </w:r>
    </w:p>
    <w:p w14:paraId="3A62F64A" w14:textId="4AE7A256" w:rsidR="00206FAC" w:rsidRPr="00FC4067" w:rsidRDefault="00206FAC" w:rsidP="00096C6C">
      <w:pPr>
        <w:pStyle w:val="Bullets"/>
      </w:pPr>
      <w:r w:rsidRPr="00FC4067">
        <w:t>National Partnership Agreement on Homelessness</w:t>
      </w:r>
      <w:r w:rsidR="004175E6" w:rsidRPr="00FC4067">
        <w:t xml:space="preserve"> (NPAH)</w:t>
      </w:r>
      <w:r w:rsidRPr="00FC4067">
        <w:t xml:space="preserve"> 2015–17, a two-year agreement to support states and territories in the reduction of homelessness and continuation of services provided to people who are homeless, or at risk of homelessness. A further 12 months of funding has been negotiated through a Transitional NPAH </w:t>
      </w:r>
      <w:r w:rsidR="000C39C3" w:rsidRPr="00FC4067">
        <w:t>2017–18</w:t>
      </w:r>
      <w:r w:rsidRPr="00FC4067">
        <w:t>, to enable service continuity</w:t>
      </w:r>
      <w:r w:rsidR="008E6D27" w:rsidRPr="00FC4067">
        <w:t xml:space="preserve">. </w:t>
      </w:r>
    </w:p>
    <w:p w14:paraId="1B8D5788" w14:textId="77777777" w:rsidR="00384C1F" w:rsidRDefault="00384C1F" w:rsidP="00FC4067">
      <w:pPr>
        <w:shd w:val="clear" w:color="auto" w:fill="FFFFFF" w:themeFill="background1"/>
        <w:sectPr w:rsidR="00384C1F" w:rsidSect="003D5AB2">
          <w:type w:val="continuous"/>
          <w:pgSz w:w="11910" w:h="16840"/>
          <w:pgMar w:top="1440" w:right="1440" w:bottom="1440" w:left="1440" w:header="241" w:footer="478" w:gutter="0"/>
          <w:cols w:num="2" w:space="397"/>
        </w:sectPr>
      </w:pPr>
    </w:p>
    <w:p w14:paraId="685F6E57" w14:textId="5CCF661D" w:rsidR="0081617D" w:rsidRPr="00D14418" w:rsidRDefault="0081617D" w:rsidP="00FC4067">
      <w:pPr>
        <w:shd w:val="clear" w:color="auto" w:fill="FFFFFF" w:themeFill="background1"/>
      </w:pPr>
      <w:r w:rsidRPr="00D14418">
        <w:br w:type="page"/>
      </w:r>
    </w:p>
    <w:p w14:paraId="3018EC07" w14:textId="77777777" w:rsidR="0081617D" w:rsidRPr="006E6769" w:rsidRDefault="0081617D" w:rsidP="005D3ADE">
      <w:pPr>
        <w:pStyle w:val="Heading1"/>
      </w:pPr>
      <w:bookmarkStart w:id="60" w:name="_Toc464823681"/>
      <w:bookmarkStart w:id="61" w:name="_Toc494984643"/>
      <w:r w:rsidRPr="006E6769">
        <w:lastRenderedPageBreak/>
        <w:t>Our People</w:t>
      </w:r>
      <w:bookmarkEnd w:id="60"/>
      <w:bookmarkEnd w:id="61"/>
    </w:p>
    <w:p w14:paraId="47239C03" w14:textId="47407424" w:rsidR="0081617D" w:rsidRPr="002F0A6A" w:rsidRDefault="0081617D" w:rsidP="002F0A6A">
      <w:pPr>
        <w:pStyle w:val="Heading2"/>
        <w:rPr>
          <w:rStyle w:val="bold0"/>
          <w:rFonts w:ascii="Arial" w:hAnsi="Arial" w:cstheme="majorBidi"/>
        </w:rPr>
      </w:pPr>
      <w:bookmarkStart w:id="62" w:name="_Toc494984644"/>
      <w:r w:rsidRPr="002F0A6A">
        <w:rPr>
          <w:rStyle w:val="bold0"/>
          <w:rFonts w:ascii="Arial" w:hAnsi="Arial" w:cstheme="majorBidi"/>
        </w:rPr>
        <w:t>Workforce Profile</w:t>
      </w:r>
      <w:bookmarkEnd w:id="62"/>
    </w:p>
    <w:p w14:paraId="0EB46FF5" w14:textId="48F5C0C6" w:rsidR="00D239B1" w:rsidRPr="00F15507" w:rsidRDefault="00D239B1" w:rsidP="00792F33">
      <w:pPr>
        <w:pStyle w:val="Heading3"/>
        <w:rPr>
          <w:rFonts w:eastAsiaTheme="minorEastAsia" w:cstheme="minorBidi"/>
          <w:color w:val="auto"/>
          <w:sz w:val="22"/>
          <w:szCs w:val="22"/>
        </w:rPr>
      </w:pPr>
      <w:r>
        <w:t>Staffing</w:t>
      </w:r>
    </w:p>
    <w:tbl>
      <w:tblPr>
        <w:tblW w:w="46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3"/>
        <w:gridCol w:w="3847"/>
      </w:tblGrid>
      <w:tr w:rsidR="00C06674" w:rsidRPr="00F15507" w14:paraId="0DB814B2" w14:textId="77777777" w:rsidTr="00F15507">
        <w:trPr>
          <w:trHeight w:val="60"/>
        </w:trPr>
        <w:tc>
          <w:tcPr>
            <w:tcW w:w="2699" w:type="pct"/>
            <w:shd w:val="clear" w:color="auto" w:fill="BFBFBF" w:themeFill="background1" w:themeFillShade="BF"/>
            <w:tcMar>
              <w:top w:w="80" w:type="dxa"/>
              <w:left w:w="80" w:type="dxa"/>
              <w:bottom w:w="80" w:type="dxa"/>
              <w:right w:w="80" w:type="dxa"/>
            </w:tcMar>
          </w:tcPr>
          <w:p w14:paraId="124F49EE" w14:textId="77777777" w:rsidR="00C06674" w:rsidRPr="00AF428A" w:rsidRDefault="00C06674" w:rsidP="00792F33">
            <w:pPr>
              <w:spacing w:after="120"/>
              <w:rPr>
                <w:b/>
              </w:rPr>
            </w:pPr>
            <w:r w:rsidRPr="00F15507">
              <w:rPr>
                <w:b/>
              </w:rPr>
              <w:t>Service areas</w:t>
            </w:r>
          </w:p>
        </w:tc>
        <w:tc>
          <w:tcPr>
            <w:tcW w:w="2301" w:type="pct"/>
            <w:shd w:val="clear" w:color="auto" w:fill="BFBFBF" w:themeFill="background1" w:themeFillShade="BF"/>
            <w:tcMar>
              <w:top w:w="80" w:type="dxa"/>
              <w:left w:w="80" w:type="dxa"/>
              <w:bottom w:w="80" w:type="dxa"/>
              <w:right w:w="80" w:type="dxa"/>
            </w:tcMar>
          </w:tcPr>
          <w:p w14:paraId="06D3FDB1" w14:textId="77777777" w:rsidR="00C06674" w:rsidRPr="00AF428A" w:rsidRDefault="00C06674" w:rsidP="00792F33">
            <w:pPr>
              <w:spacing w:after="120"/>
              <w:rPr>
                <w:b/>
              </w:rPr>
            </w:pPr>
            <w:r w:rsidRPr="00F15507">
              <w:rPr>
                <w:b/>
              </w:rPr>
              <w:t xml:space="preserve">MOHRI FTE </w:t>
            </w:r>
            <w:r w:rsidRPr="00F15507">
              <w:rPr>
                <w:b/>
              </w:rPr>
              <w:br/>
              <w:t>Minimum Obligatory Human Resources Information Full Time Equivalent (MOHRI FTE))</w:t>
            </w:r>
            <w:r w:rsidRPr="00F15507">
              <w:rPr>
                <w:b/>
              </w:rPr>
              <w:br/>
              <w:t>30 June 2017</w:t>
            </w:r>
          </w:p>
        </w:tc>
      </w:tr>
      <w:tr w:rsidR="00C06674" w:rsidRPr="00EC04FF" w14:paraId="07EB7B5F" w14:textId="77777777" w:rsidTr="00F15507">
        <w:trPr>
          <w:trHeight w:val="60"/>
        </w:trPr>
        <w:tc>
          <w:tcPr>
            <w:tcW w:w="2699" w:type="pct"/>
            <w:shd w:val="clear" w:color="auto" w:fill="auto"/>
            <w:tcMar>
              <w:top w:w="80" w:type="dxa"/>
              <w:left w:w="80" w:type="dxa"/>
              <w:bottom w:w="80" w:type="dxa"/>
              <w:right w:w="80" w:type="dxa"/>
            </w:tcMar>
          </w:tcPr>
          <w:p w14:paraId="69FE9647" w14:textId="77777777" w:rsidR="00C06674" w:rsidRPr="00EC04FF" w:rsidRDefault="00C06674" w:rsidP="00792F33">
            <w:pPr>
              <w:spacing w:after="0"/>
            </w:pPr>
            <w:r w:rsidRPr="00EC04FF">
              <w:t>Building Industry and Policy</w:t>
            </w:r>
          </w:p>
        </w:tc>
        <w:tc>
          <w:tcPr>
            <w:tcW w:w="2301" w:type="pct"/>
            <w:shd w:val="clear" w:color="auto" w:fill="auto"/>
            <w:tcMar>
              <w:top w:w="80" w:type="dxa"/>
              <w:left w:w="80" w:type="dxa"/>
              <w:bottom w:w="80" w:type="dxa"/>
              <w:right w:w="80" w:type="dxa"/>
            </w:tcMar>
          </w:tcPr>
          <w:p w14:paraId="66D802AC" w14:textId="77777777" w:rsidR="00C06674" w:rsidRPr="00EC04FF" w:rsidRDefault="00C06674" w:rsidP="00792F33">
            <w:pPr>
              <w:spacing w:after="0"/>
            </w:pPr>
            <w:r w:rsidRPr="00EC04FF">
              <w:t>85.2</w:t>
            </w:r>
          </w:p>
        </w:tc>
      </w:tr>
      <w:tr w:rsidR="00C06674" w:rsidRPr="00EC04FF" w14:paraId="613600CA" w14:textId="77777777" w:rsidTr="00F15507">
        <w:trPr>
          <w:trHeight w:val="60"/>
        </w:trPr>
        <w:tc>
          <w:tcPr>
            <w:tcW w:w="2699" w:type="pct"/>
            <w:shd w:val="clear" w:color="auto" w:fill="auto"/>
            <w:tcMar>
              <w:top w:w="80" w:type="dxa"/>
              <w:left w:w="80" w:type="dxa"/>
              <w:bottom w:w="80" w:type="dxa"/>
              <w:right w:w="80" w:type="dxa"/>
            </w:tcMar>
          </w:tcPr>
          <w:p w14:paraId="6FE89ACA" w14:textId="77777777" w:rsidR="00C06674" w:rsidRPr="00EC04FF" w:rsidRDefault="00C06674" w:rsidP="00792F33">
            <w:pPr>
              <w:spacing w:after="0"/>
            </w:pPr>
            <w:r w:rsidRPr="00EC04FF">
              <w:t>Housing and Homelessness Services</w:t>
            </w:r>
          </w:p>
        </w:tc>
        <w:tc>
          <w:tcPr>
            <w:tcW w:w="2301" w:type="pct"/>
            <w:shd w:val="clear" w:color="auto" w:fill="auto"/>
            <w:tcMar>
              <w:top w:w="80" w:type="dxa"/>
              <w:left w:w="80" w:type="dxa"/>
              <w:bottom w:w="80" w:type="dxa"/>
              <w:right w:w="80" w:type="dxa"/>
            </w:tcMar>
          </w:tcPr>
          <w:p w14:paraId="498728D3" w14:textId="77777777" w:rsidR="00C06674" w:rsidRPr="00EC04FF" w:rsidRDefault="00C06674" w:rsidP="00792F33">
            <w:pPr>
              <w:spacing w:after="0"/>
            </w:pPr>
            <w:r w:rsidRPr="00EC04FF">
              <w:t>1,151.4</w:t>
            </w:r>
          </w:p>
        </w:tc>
      </w:tr>
      <w:tr w:rsidR="00C06674" w:rsidRPr="00EC04FF" w14:paraId="49A8EEF2" w14:textId="77777777" w:rsidTr="00F15507">
        <w:trPr>
          <w:trHeight w:val="60"/>
        </w:trPr>
        <w:tc>
          <w:tcPr>
            <w:tcW w:w="2699" w:type="pct"/>
            <w:shd w:val="clear" w:color="auto" w:fill="auto"/>
            <w:tcMar>
              <w:top w:w="80" w:type="dxa"/>
              <w:left w:w="80" w:type="dxa"/>
              <w:bottom w:w="80" w:type="dxa"/>
              <w:right w:w="80" w:type="dxa"/>
            </w:tcMar>
          </w:tcPr>
          <w:p w14:paraId="6FC932ED" w14:textId="77777777" w:rsidR="00C06674" w:rsidRPr="00EC04FF" w:rsidRDefault="00C06674" w:rsidP="00792F33">
            <w:pPr>
              <w:spacing w:after="0"/>
            </w:pPr>
            <w:r w:rsidRPr="00EC04FF">
              <w:t>Public Works and Asset Management</w:t>
            </w:r>
          </w:p>
        </w:tc>
        <w:tc>
          <w:tcPr>
            <w:tcW w:w="2301" w:type="pct"/>
            <w:shd w:val="clear" w:color="auto" w:fill="auto"/>
            <w:tcMar>
              <w:top w:w="80" w:type="dxa"/>
              <w:left w:w="80" w:type="dxa"/>
              <w:bottom w:w="80" w:type="dxa"/>
              <w:right w:w="80" w:type="dxa"/>
            </w:tcMar>
          </w:tcPr>
          <w:p w14:paraId="14B39D5F" w14:textId="77777777" w:rsidR="00C06674" w:rsidRPr="00EC04FF" w:rsidRDefault="00C06674" w:rsidP="00792F33">
            <w:pPr>
              <w:spacing w:after="0"/>
            </w:pPr>
            <w:r w:rsidRPr="00EC04FF">
              <w:t>1,153.7</w:t>
            </w:r>
          </w:p>
        </w:tc>
      </w:tr>
      <w:tr w:rsidR="00C06674" w:rsidRPr="00EC04FF" w14:paraId="2394C573" w14:textId="77777777" w:rsidTr="00F15507">
        <w:trPr>
          <w:trHeight w:val="60"/>
        </w:trPr>
        <w:tc>
          <w:tcPr>
            <w:tcW w:w="2699" w:type="pct"/>
            <w:shd w:val="clear" w:color="auto" w:fill="auto"/>
            <w:tcMar>
              <w:top w:w="80" w:type="dxa"/>
              <w:left w:w="80" w:type="dxa"/>
              <w:bottom w:w="80" w:type="dxa"/>
              <w:right w:w="80" w:type="dxa"/>
            </w:tcMar>
          </w:tcPr>
          <w:p w14:paraId="70E3A4E9" w14:textId="77777777" w:rsidR="00C06674" w:rsidRPr="00EC04FF" w:rsidRDefault="00C06674" w:rsidP="00792F33">
            <w:pPr>
              <w:spacing w:after="0"/>
            </w:pPr>
            <w:r w:rsidRPr="00EC04FF">
              <w:t>Queensland Government Procurement</w:t>
            </w:r>
          </w:p>
        </w:tc>
        <w:tc>
          <w:tcPr>
            <w:tcW w:w="2301" w:type="pct"/>
            <w:shd w:val="clear" w:color="auto" w:fill="auto"/>
            <w:tcMar>
              <w:top w:w="80" w:type="dxa"/>
              <w:left w:w="80" w:type="dxa"/>
              <w:bottom w:w="80" w:type="dxa"/>
              <w:right w:w="80" w:type="dxa"/>
            </w:tcMar>
          </w:tcPr>
          <w:p w14:paraId="683A672B" w14:textId="77777777" w:rsidR="00C06674" w:rsidRPr="00EC04FF" w:rsidRDefault="00C06674" w:rsidP="00792F33">
            <w:pPr>
              <w:spacing w:after="0"/>
            </w:pPr>
            <w:r w:rsidRPr="00EC04FF">
              <w:t>92.3</w:t>
            </w:r>
          </w:p>
        </w:tc>
      </w:tr>
      <w:tr w:rsidR="00C06674" w:rsidRPr="00EC04FF" w14:paraId="3581A476" w14:textId="77777777" w:rsidTr="00F15507">
        <w:trPr>
          <w:trHeight w:val="60"/>
        </w:trPr>
        <w:tc>
          <w:tcPr>
            <w:tcW w:w="2699" w:type="pct"/>
            <w:shd w:val="clear" w:color="auto" w:fill="auto"/>
            <w:tcMar>
              <w:top w:w="80" w:type="dxa"/>
              <w:left w:w="80" w:type="dxa"/>
              <w:bottom w:w="80" w:type="dxa"/>
              <w:right w:w="80" w:type="dxa"/>
            </w:tcMar>
          </w:tcPr>
          <w:p w14:paraId="1D6784AD" w14:textId="77777777" w:rsidR="00C06674" w:rsidRPr="00EC04FF" w:rsidRDefault="00C06674" w:rsidP="00792F33">
            <w:pPr>
              <w:spacing w:after="0"/>
            </w:pPr>
            <w:r w:rsidRPr="00EC04FF">
              <w:t>Corporate Services</w:t>
            </w:r>
          </w:p>
        </w:tc>
        <w:tc>
          <w:tcPr>
            <w:tcW w:w="2301" w:type="pct"/>
            <w:shd w:val="clear" w:color="auto" w:fill="auto"/>
            <w:tcMar>
              <w:top w:w="80" w:type="dxa"/>
              <w:left w:w="80" w:type="dxa"/>
              <w:bottom w:w="80" w:type="dxa"/>
              <w:right w:w="80" w:type="dxa"/>
            </w:tcMar>
          </w:tcPr>
          <w:p w14:paraId="2759A7A8" w14:textId="77777777" w:rsidR="00C06674" w:rsidRPr="00EC04FF" w:rsidRDefault="00C06674" w:rsidP="00792F33">
            <w:pPr>
              <w:spacing w:after="0"/>
            </w:pPr>
            <w:r w:rsidRPr="00EC04FF">
              <w:t>454.8</w:t>
            </w:r>
          </w:p>
        </w:tc>
      </w:tr>
      <w:tr w:rsidR="00C06674" w:rsidRPr="00EC04FF" w14:paraId="751CD8A8" w14:textId="77777777" w:rsidTr="00F15507">
        <w:trPr>
          <w:trHeight w:val="60"/>
        </w:trPr>
        <w:tc>
          <w:tcPr>
            <w:tcW w:w="2699" w:type="pct"/>
            <w:shd w:val="clear" w:color="auto" w:fill="auto"/>
            <w:tcMar>
              <w:top w:w="80" w:type="dxa"/>
              <w:left w:w="80" w:type="dxa"/>
              <w:bottom w:w="80" w:type="dxa"/>
              <w:right w:w="80" w:type="dxa"/>
            </w:tcMar>
          </w:tcPr>
          <w:p w14:paraId="498F00D5" w14:textId="77777777" w:rsidR="00C06674" w:rsidRPr="00EC04FF" w:rsidRDefault="00C06674" w:rsidP="00792F33">
            <w:pPr>
              <w:spacing w:after="0"/>
            </w:pPr>
            <w:r w:rsidRPr="00EC04FF">
              <w:t>Total</w:t>
            </w:r>
          </w:p>
        </w:tc>
        <w:tc>
          <w:tcPr>
            <w:tcW w:w="2301" w:type="pct"/>
            <w:shd w:val="clear" w:color="auto" w:fill="auto"/>
            <w:tcMar>
              <w:top w:w="80" w:type="dxa"/>
              <w:left w:w="80" w:type="dxa"/>
              <w:bottom w:w="80" w:type="dxa"/>
              <w:right w:w="80" w:type="dxa"/>
            </w:tcMar>
          </w:tcPr>
          <w:p w14:paraId="0E1FCD8A" w14:textId="77777777" w:rsidR="00C06674" w:rsidRPr="00EC04FF" w:rsidRDefault="00C06674" w:rsidP="00792F33">
            <w:pPr>
              <w:spacing w:after="0"/>
            </w:pPr>
            <w:r w:rsidRPr="00EC04FF">
              <w:t>2,937.4</w:t>
            </w:r>
          </w:p>
        </w:tc>
      </w:tr>
    </w:tbl>
    <w:p w14:paraId="5D4298E9" w14:textId="7C022EC9" w:rsidR="00945089" w:rsidRDefault="00EC04FF" w:rsidP="00CF0A4C">
      <w:r>
        <w:t xml:space="preserve">During </w:t>
      </w:r>
      <w:r w:rsidR="000C39C3">
        <w:t>2016–17</w:t>
      </w:r>
      <w:r w:rsidR="00C06674" w:rsidRPr="0083026F">
        <w:t xml:space="preserve">, the department’s separation rate was </w:t>
      </w:r>
      <w:r w:rsidR="00C06674">
        <w:t>4.99</w:t>
      </w:r>
      <w:r w:rsidR="00C06674" w:rsidRPr="0083026F">
        <w:t xml:space="preserve"> per cent. </w:t>
      </w:r>
    </w:p>
    <w:p w14:paraId="6EB0A7B4" w14:textId="41B1CE42" w:rsidR="00C06674" w:rsidRPr="0083026F" w:rsidRDefault="00C06674" w:rsidP="00CF0A4C">
      <w:r w:rsidRPr="0083026F">
        <w:t>Equi</w:t>
      </w:r>
      <w:r>
        <w:t>ty Statistics as at 30 June 2017</w:t>
      </w:r>
      <w:r w:rsidR="00EC04FF" w:rsidRPr="5E3A9904">
        <w:t xml:space="preserve">. </w:t>
      </w:r>
    </w:p>
    <w:tbl>
      <w:tblPr>
        <w:tblW w:w="4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19"/>
        <w:gridCol w:w="3698"/>
      </w:tblGrid>
      <w:tr w:rsidR="00C06674" w:rsidRPr="00F15507" w14:paraId="6E048C55" w14:textId="77777777" w:rsidTr="00F15507">
        <w:trPr>
          <w:trHeight w:val="60"/>
        </w:trPr>
        <w:tc>
          <w:tcPr>
            <w:tcW w:w="2750" w:type="pct"/>
            <w:shd w:val="clear" w:color="auto" w:fill="BFBFBF" w:themeFill="background1" w:themeFillShade="BF"/>
            <w:tcMar>
              <w:top w:w="80" w:type="dxa"/>
              <w:left w:w="80" w:type="dxa"/>
              <w:bottom w:w="80" w:type="dxa"/>
              <w:right w:w="80" w:type="dxa"/>
            </w:tcMar>
          </w:tcPr>
          <w:p w14:paraId="0A1E9C34" w14:textId="77777777" w:rsidR="00C06674" w:rsidRPr="00AF428A" w:rsidRDefault="00C06674" w:rsidP="00BB52E1">
            <w:pPr>
              <w:spacing w:after="0"/>
              <w:rPr>
                <w:b/>
              </w:rPr>
            </w:pPr>
            <w:r w:rsidRPr="00F15507">
              <w:rPr>
                <w:b/>
              </w:rPr>
              <w:t>Employment and Equal Opportunity Group</w:t>
            </w:r>
          </w:p>
        </w:tc>
        <w:tc>
          <w:tcPr>
            <w:tcW w:w="2250" w:type="pct"/>
            <w:shd w:val="clear" w:color="auto" w:fill="BFBFBF" w:themeFill="background1" w:themeFillShade="BF"/>
            <w:tcMar>
              <w:top w:w="80" w:type="dxa"/>
              <w:left w:w="80" w:type="dxa"/>
              <w:bottom w:w="80" w:type="dxa"/>
              <w:right w:w="80" w:type="dxa"/>
            </w:tcMar>
          </w:tcPr>
          <w:p w14:paraId="535B3B73" w14:textId="7590F4D4" w:rsidR="00C06674" w:rsidRPr="00AF428A" w:rsidRDefault="00C06674" w:rsidP="00BB52E1">
            <w:pPr>
              <w:spacing w:after="0"/>
              <w:rPr>
                <w:b/>
              </w:rPr>
            </w:pPr>
            <w:r w:rsidRPr="00F15507">
              <w:rPr>
                <w:b/>
              </w:rPr>
              <w:t xml:space="preserve">Actual </w:t>
            </w:r>
            <w:r w:rsidRPr="00F15507">
              <w:rPr>
                <w:b/>
              </w:rPr>
              <w:br/>
              <w:t>(There were no targets set for 2016–17)</w:t>
            </w:r>
          </w:p>
        </w:tc>
      </w:tr>
      <w:tr w:rsidR="00C06674" w:rsidRPr="0083026F" w14:paraId="0DD06772" w14:textId="77777777" w:rsidTr="00F15507">
        <w:trPr>
          <w:trHeight w:val="60"/>
        </w:trPr>
        <w:tc>
          <w:tcPr>
            <w:tcW w:w="2750" w:type="pct"/>
            <w:shd w:val="clear" w:color="auto" w:fill="auto"/>
            <w:tcMar>
              <w:top w:w="80" w:type="dxa"/>
              <w:left w:w="80" w:type="dxa"/>
              <w:bottom w:w="80" w:type="dxa"/>
              <w:right w:w="80" w:type="dxa"/>
            </w:tcMar>
          </w:tcPr>
          <w:p w14:paraId="3F8885C0" w14:textId="77777777" w:rsidR="00C06674" w:rsidRPr="0083026F" w:rsidRDefault="00C06674" w:rsidP="00BB52E1">
            <w:pPr>
              <w:spacing w:after="0"/>
            </w:pPr>
            <w:r w:rsidRPr="0083026F">
              <w:t>Women in senior management (Senior Executive Service and Senior Officer positions)</w:t>
            </w:r>
          </w:p>
        </w:tc>
        <w:tc>
          <w:tcPr>
            <w:tcW w:w="2250" w:type="pct"/>
            <w:shd w:val="clear" w:color="auto" w:fill="auto"/>
            <w:tcMar>
              <w:top w:w="80" w:type="dxa"/>
              <w:left w:w="80" w:type="dxa"/>
              <w:bottom w:w="80" w:type="dxa"/>
              <w:right w:w="80" w:type="dxa"/>
            </w:tcMar>
          </w:tcPr>
          <w:p w14:paraId="737FEDBD" w14:textId="77777777" w:rsidR="00C06674" w:rsidRPr="0083026F" w:rsidRDefault="00C06674" w:rsidP="00BB52E1">
            <w:pPr>
              <w:spacing w:after="0"/>
            </w:pPr>
            <w:r>
              <w:t>42.0%</w:t>
            </w:r>
          </w:p>
        </w:tc>
      </w:tr>
      <w:tr w:rsidR="00C06674" w:rsidRPr="0083026F" w14:paraId="701482F3" w14:textId="77777777" w:rsidTr="00F15507">
        <w:trPr>
          <w:trHeight w:val="60"/>
        </w:trPr>
        <w:tc>
          <w:tcPr>
            <w:tcW w:w="2750" w:type="pct"/>
            <w:shd w:val="clear" w:color="auto" w:fill="auto"/>
            <w:tcMar>
              <w:top w:w="80" w:type="dxa"/>
              <w:left w:w="80" w:type="dxa"/>
              <w:bottom w:w="80" w:type="dxa"/>
              <w:right w:w="80" w:type="dxa"/>
            </w:tcMar>
          </w:tcPr>
          <w:p w14:paraId="0F1D3697" w14:textId="77777777" w:rsidR="00C06674" w:rsidRPr="0083026F" w:rsidRDefault="00C06674" w:rsidP="00BB52E1">
            <w:pPr>
              <w:spacing w:after="0"/>
            </w:pPr>
            <w:r w:rsidRPr="0083026F">
              <w:t>Aboriginal and Torres Strait Islander staff</w:t>
            </w:r>
          </w:p>
        </w:tc>
        <w:tc>
          <w:tcPr>
            <w:tcW w:w="2250" w:type="pct"/>
            <w:shd w:val="clear" w:color="auto" w:fill="auto"/>
            <w:tcMar>
              <w:top w:w="80" w:type="dxa"/>
              <w:left w:w="80" w:type="dxa"/>
              <w:bottom w:w="80" w:type="dxa"/>
              <w:right w:w="80" w:type="dxa"/>
            </w:tcMar>
          </w:tcPr>
          <w:p w14:paraId="6EC3FED7" w14:textId="77777777" w:rsidR="00C06674" w:rsidRPr="0083026F" w:rsidRDefault="00C06674" w:rsidP="00BB52E1">
            <w:pPr>
              <w:spacing w:after="0"/>
            </w:pPr>
            <w:r>
              <w:t>4.8%</w:t>
            </w:r>
          </w:p>
        </w:tc>
      </w:tr>
      <w:tr w:rsidR="00C06674" w:rsidRPr="0083026F" w14:paraId="1323217B" w14:textId="77777777" w:rsidTr="00F15507">
        <w:trPr>
          <w:trHeight w:val="60"/>
        </w:trPr>
        <w:tc>
          <w:tcPr>
            <w:tcW w:w="2750" w:type="pct"/>
            <w:shd w:val="clear" w:color="auto" w:fill="auto"/>
            <w:tcMar>
              <w:top w:w="80" w:type="dxa"/>
              <w:left w:w="80" w:type="dxa"/>
              <w:bottom w:w="80" w:type="dxa"/>
              <w:right w:w="80" w:type="dxa"/>
            </w:tcMar>
          </w:tcPr>
          <w:p w14:paraId="5DF0A66D" w14:textId="77777777" w:rsidR="00C06674" w:rsidRPr="0083026F" w:rsidRDefault="00C06674" w:rsidP="00BB52E1">
            <w:pPr>
              <w:spacing w:after="0"/>
            </w:pPr>
            <w:r w:rsidRPr="0083026F">
              <w:t>People from a non-English speaking background</w:t>
            </w:r>
          </w:p>
        </w:tc>
        <w:tc>
          <w:tcPr>
            <w:tcW w:w="2250" w:type="pct"/>
            <w:shd w:val="clear" w:color="auto" w:fill="auto"/>
            <w:tcMar>
              <w:top w:w="80" w:type="dxa"/>
              <w:left w:w="80" w:type="dxa"/>
              <w:bottom w:w="80" w:type="dxa"/>
              <w:right w:w="80" w:type="dxa"/>
            </w:tcMar>
          </w:tcPr>
          <w:p w14:paraId="742D9111" w14:textId="77777777" w:rsidR="00C06674" w:rsidRPr="0083026F" w:rsidRDefault="00C06674" w:rsidP="00BB52E1">
            <w:pPr>
              <w:spacing w:after="0"/>
            </w:pPr>
            <w:r>
              <w:t>7.8%</w:t>
            </w:r>
          </w:p>
        </w:tc>
      </w:tr>
      <w:tr w:rsidR="00C06674" w:rsidRPr="0083026F" w14:paraId="758C31CF" w14:textId="77777777" w:rsidTr="00F15507">
        <w:trPr>
          <w:trHeight w:val="60"/>
        </w:trPr>
        <w:tc>
          <w:tcPr>
            <w:tcW w:w="2750" w:type="pct"/>
            <w:shd w:val="clear" w:color="auto" w:fill="auto"/>
            <w:tcMar>
              <w:top w:w="80" w:type="dxa"/>
              <w:left w:w="80" w:type="dxa"/>
              <w:bottom w:w="80" w:type="dxa"/>
              <w:right w:w="80" w:type="dxa"/>
            </w:tcMar>
          </w:tcPr>
          <w:p w14:paraId="45C8192A" w14:textId="77777777" w:rsidR="00C06674" w:rsidRPr="0083026F" w:rsidRDefault="00C06674" w:rsidP="00BB52E1">
            <w:pPr>
              <w:spacing w:after="0"/>
            </w:pPr>
            <w:r w:rsidRPr="0083026F">
              <w:t>People with a disability</w:t>
            </w:r>
          </w:p>
        </w:tc>
        <w:tc>
          <w:tcPr>
            <w:tcW w:w="2250" w:type="pct"/>
            <w:shd w:val="clear" w:color="auto" w:fill="auto"/>
            <w:tcMar>
              <w:top w:w="80" w:type="dxa"/>
              <w:left w:w="80" w:type="dxa"/>
              <w:bottom w:w="80" w:type="dxa"/>
              <w:right w:w="80" w:type="dxa"/>
            </w:tcMar>
          </w:tcPr>
          <w:p w14:paraId="287A43EA" w14:textId="77777777" w:rsidR="00C06674" w:rsidRPr="0083026F" w:rsidRDefault="00C06674" w:rsidP="00BB52E1">
            <w:pPr>
              <w:spacing w:after="0"/>
            </w:pPr>
            <w:r>
              <w:t>4.2%</w:t>
            </w:r>
          </w:p>
        </w:tc>
      </w:tr>
    </w:tbl>
    <w:p w14:paraId="3EE9477C" w14:textId="77777777" w:rsidR="00BE1B70" w:rsidRDefault="00BE1B70" w:rsidP="00BE1B70">
      <w:bookmarkStart w:id="63" w:name="_Toc464823682"/>
    </w:p>
    <w:p w14:paraId="6304A845" w14:textId="0B65EFDD" w:rsidR="00BE1B70" w:rsidRDefault="00DC4782" w:rsidP="00BE1B70">
      <w:r>
        <w:t>Infographic</w:t>
      </w:r>
    </w:p>
    <w:tbl>
      <w:tblPr>
        <w:tblStyle w:val="TableGrid"/>
        <w:tblW w:w="0" w:type="auto"/>
        <w:tblLook w:val="04A0" w:firstRow="1" w:lastRow="0" w:firstColumn="1" w:lastColumn="0" w:noHBand="0" w:noVBand="1"/>
      </w:tblPr>
      <w:tblGrid>
        <w:gridCol w:w="5098"/>
        <w:gridCol w:w="1276"/>
      </w:tblGrid>
      <w:tr w:rsidR="00BE1B70" w14:paraId="766B0675" w14:textId="77777777" w:rsidTr="00912E38">
        <w:tc>
          <w:tcPr>
            <w:tcW w:w="5098" w:type="dxa"/>
          </w:tcPr>
          <w:p w14:paraId="44B84B1D" w14:textId="61724521" w:rsidR="00BE1B70" w:rsidRDefault="00BE1B70" w:rsidP="00D675BC">
            <w:pPr>
              <w:spacing w:line="259" w:lineRule="auto"/>
            </w:pPr>
            <w:r>
              <w:t>Aboriginal and Torres Strait Islander representation</w:t>
            </w:r>
          </w:p>
        </w:tc>
        <w:tc>
          <w:tcPr>
            <w:tcW w:w="1276" w:type="dxa"/>
          </w:tcPr>
          <w:p w14:paraId="6D266E86" w14:textId="572E22A8" w:rsidR="00BE1B70" w:rsidRDefault="00BE1B70" w:rsidP="00912E38">
            <w:pPr>
              <w:spacing w:line="259" w:lineRule="auto"/>
              <w:jc w:val="right"/>
            </w:pPr>
            <w:r>
              <w:t>4.8%</w:t>
            </w:r>
          </w:p>
        </w:tc>
      </w:tr>
      <w:tr w:rsidR="00BE1B70" w14:paraId="147765ED" w14:textId="77777777" w:rsidTr="00912E38">
        <w:tc>
          <w:tcPr>
            <w:tcW w:w="5098" w:type="dxa"/>
          </w:tcPr>
          <w:p w14:paraId="02E3B968" w14:textId="0706E2E4" w:rsidR="00BE1B70" w:rsidRDefault="00BE1B70" w:rsidP="00D675BC">
            <w:pPr>
              <w:spacing w:line="259" w:lineRule="auto"/>
            </w:pPr>
            <w:r>
              <w:t>Seasonal Influenza vaccination</w:t>
            </w:r>
          </w:p>
        </w:tc>
        <w:tc>
          <w:tcPr>
            <w:tcW w:w="1276" w:type="dxa"/>
          </w:tcPr>
          <w:p w14:paraId="754C8AD8" w14:textId="54D9D051" w:rsidR="00BE1B70" w:rsidRDefault="00BE1B70" w:rsidP="00912E38">
            <w:pPr>
              <w:spacing w:line="259" w:lineRule="auto"/>
              <w:jc w:val="right"/>
            </w:pPr>
            <w:r>
              <w:t>1,480</w:t>
            </w:r>
          </w:p>
        </w:tc>
      </w:tr>
      <w:tr w:rsidR="00BE1B70" w14:paraId="4A18ACE5" w14:textId="77777777" w:rsidTr="00912E38">
        <w:tc>
          <w:tcPr>
            <w:tcW w:w="5098" w:type="dxa"/>
          </w:tcPr>
          <w:p w14:paraId="438DFD67" w14:textId="1D107718" w:rsidR="00BE1B70" w:rsidRDefault="00BE1B70" w:rsidP="00D675BC">
            <w:pPr>
              <w:spacing w:line="259" w:lineRule="auto"/>
            </w:pPr>
            <w:r>
              <w:t>Health assessments conducted</w:t>
            </w:r>
          </w:p>
        </w:tc>
        <w:tc>
          <w:tcPr>
            <w:tcW w:w="1276" w:type="dxa"/>
          </w:tcPr>
          <w:p w14:paraId="393F3D1F" w14:textId="7A31CDBB" w:rsidR="00BE1B70" w:rsidRDefault="00BE1B70" w:rsidP="00912E38">
            <w:pPr>
              <w:spacing w:line="259" w:lineRule="auto"/>
              <w:jc w:val="right"/>
            </w:pPr>
            <w:r>
              <w:t>650</w:t>
            </w:r>
          </w:p>
        </w:tc>
      </w:tr>
      <w:tr w:rsidR="00BE1B70" w14:paraId="247EE116" w14:textId="77777777" w:rsidTr="00912E38">
        <w:tc>
          <w:tcPr>
            <w:tcW w:w="5098" w:type="dxa"/>
          </w:tcPr>
          <w:p w14:paraId="2FADB6D7" w14:textId="4A24C05B" w:rsidR="00BE1B70" w:rsidRDefault="00BE1B70" w:rsidP="00D675BC">
            <w:pPr>
              <w:spacing w:line="259" w:lineRule="auto"/>
            </w:pPr>
            <w:r>
              <w:t>Staff completed Managing 4 Results</w:t>
            </w:r>
          </w:p>
        </w:tc>
        <w:tc>
          <w:tcPr>
            <w:tcW w:w="1276" w:type="dxa"/>
          </w:tcPr>
          <w:p w14:paraId="364C344B" w14:textId="158B9A09" w:rsidR="00BE1B70" w:rsidRDefault="00BE1B70" w:rsidP="00912E38">
            <w:pPr>
              <w:spacing w:line="259" w:lineRule="auto"/>
              <w:jc w:val="right"/>
            </w:pPr>
            <w:r>
              <w:t>63</w:t>
            </w:r>
          </w:p>
        </w:tc>
      </w:tr>
      <w:tr w:rsidR="00BE1B70" w14:paraId="43829CAC" w14:textId="77777777" w:rsidTr="00912E38">
        <w:tc>
          <w:tcPr>
            <w:tcW w:w="5098" w:type="dxa"/>
          </w:tcPr>
          <w:p w14:paraId="328DD98B" w14:textId="7455D913" w:rsidR="00BE1B70" w:rsidRDefault="00BE1B70" w:rsidP="00D675BC">
            <w:pPr>
              <w:spacing w:line="259" w:lineRule="auto"/>
            </w:pPr>
            <w:r>
              <w:t>Staff attended mental health awareness training</w:t>
            </w:r>
          </w:p>
        </w:tc>
        <w:tc>
          <w:tcPr>
            <w:tcW w:w="1276" w:type="dxa"/>
          </w:tcPr>
          <w:p w14:paraId="06DF6717" w14:textId="6CE019A1" w:rsidR="00BE1B70" w:rsidRDefault="00BE1B70" w:rsidP="00912E38">
            <w:pPr>
              <w:spacing w:line="259" w:lineRule="auto"/>
              <w:jc w:val="right"/>
            </w:pPr>
            <w:r>
              <w:t>950</w:t>
            </w:r>
          </w:p>
        </w:tc>
      </w:tr>
      <w:tr w:rsidR="00BE1B70" w14:paraId="0D88F7CD" w14:textId="77777777" w:rsidTr="00912E38">
        <w:tc>
          <w:tcPr>
            <w:tcW w:w="5098" w:type="dxa"/>
          </w:tcPr>
          <w:p w14:paraId="04C1389F" w14:textId="3136A05A" w:rsidR="00BE1B70" w:rsidRDefault="00BE1B70" w:rsidP="00D675BC">
            <w:pPr>
              <w:spacing w:line="259" w:lineRule="auto"/>
            </w:pPr>
            <w:r>
              <w:t>Percentage of our management cohort are women</w:t>
            </w:r>
          </w:p>
        </w:tc>
        <w:tc>
          <w:tcPr>
            <w:tcW w:w="1276" w:type="dxa"/>
          </w:tcPr>
          <w:p w14:paraId="03A5DFD7" w14:textId="232BF83C" w:rsidR="00BE1B70" w:rsidRDefault="00BE1B70" w:rsidP="00912E38">
            <w:pPr>
              <w:spacing w:line="259" w:lineRule="auto"/>
              <w:jc w:val="right"/>
            </w:pPr>
            <w:r>
              <w:t>42%</w:t>
            </w:r>
          </w:p>
        </w:tc>
      </w:tr>
    </w:tbl>
    <w:p w14:paraId="00A741B8" w14:textId="77777777" w:rsidR="007A0AB7" w:rsidRDefault="007A0AB7" w:rsidP="00CF0A4C">
      <w:pPr>
        <w:rPr>
          <w:lang w:val="en-US"/>
        </w:rPr>
      </w:pPr>
      <w:r>
        <w:rPr>
          <w:lang w:val="en-US"/>
        </w:rPr>
        <w:br w:type="page"/>
      </w:r>
    </w:p>
    <w:p w14:paraId="0A83C81B" w14:textId="0D89F5CC" w:rsidR="007A0AB7" w:rsidRDefault="007A0AB7" w:rsidP="0004270E">
      <w:pPr>
        <w:pStyle w:val="Heading2"/>
        <w:rPr>
          <w:lang w:val="en-US"/>
        </w:rPr>
        <w:sectPr w:rsidR="007A0AB7" w:rsidSect="00F91DF9">
          <w:type w:val="continuous"/>
          <w:pgSz w:w="11910" w:h="16840"/>
          <w:pgMar w:top="1440" w:right="1440" w:bottom="1440" w:left="1440" w:header="241" w:footer="478" w:gutter="0"/>
          <w:cols w:space="454"/>
        </w:sectPr>
      </w:pPr>
    </w:p>
    <w:p w14:paraId="05ED7205" w14:textId="7311BCC5" w:rsidR="0081617D" w:rsidRPr="00FC4067" w:rsidRDefault="0081617D" w:rsidP="0004270E">
      <w:pPr>
        <w:pStyle w:val="Heading2"/>
        <w:rPr>
          <w:lang w:val="en-US"/>
        </w:rPr>
      </w:pPr>
      <w:bookmarkStart w:id="64" w:name="_Toc494984645"/>
      <w:r w:rsidRPr="00FC4067">
        <w:rPr>
          <w:lang w:val="en-US"/>
        </w:rPr>
        <w:lastRenderedPageBreak/>
        <w:t>Workforce Planning</w:t>
      </w:r>
      <w:bookmarkEnd w:id="63"/>
      <w:bookmarkEnd w:id="64"/>
    </w:p>
    <w:p w14:paraId="4D3FE5FD" w14:textId="0DBA2F8F" w:rsidR="0081617D" w:rsidRPr="00BB52E1" w:rsidRDefault="00EC04FF" w:rsidP="00CF0A4C">
      <w:pPr>
        <w:rPr>
          <w:color w:val="000000" w:themeColor="text1"/>
        </w:rPr>
      </w:pPr>
      <w:r w:rsidRPr="00FC4067">
        <w:t xml:space="preserve">The department’s strategic workforce priorities, specified in our </w:t>
      </w:r>
      <w:r w:rsidRPr="00FC4067">
        <w:rPr>
          <w:i/>
        </w:rPr>
        <w:t>People and Culture Strategy 2016</w:t>
      </w:r>
      <w:r w:rsidR="00A54DB1" w:rsidRPr="00FC4067">
        <w:rPr>
          <w:i/>
        </w:rPr>
        <w:t>–</w:t>
      </w:r>
      <w:r w:rsidRPr="00FC4067">
        <w:rPr>
          <w:i/>
        </w:rPr>
        <w:t>2020</w:t>
      </w:r>
      <w:r w:rsidRPr="00FC4067">
        <w:t>, continue to align with whole</w:t>
      </w:r>
      <w:r w:rsidR="00A54DB1" w:rsidRPr="00FC4067">
        <w:t>-</w:t>
      </w:r>
      <w:r w:rsidRPr="00FC4067">
        <w:t>of</w:t>
      </w:r>
      <w:r w:rsidR="00A54DB1" w:rsidRPr="00FC4067">
        <w:t>-</w:t>
      </w:r>
      <w:r w:rsidRPr="00FC4067">
        <w:t>government and departmental priorities as well as key themes arising from the annual Working for Queensland survey</w:t>
      </w:r>
      <w:r w:rsidRPr="00BB52E1">
        <w:rPr>
          <w:color w:val="000000" w:themeColor="text1"/>
        </w:rPr>
        <w:t xml:space="preserve">. </w:t>
      </w:r>
    </w:p>
    <w:p w14:paraId="2766EDB5" w14:textId="77777777" w:rsidR="0081617D" w:rsidRPr="00FC4067" w:rsidRDefault="0081617D" w:rsidP="00792F33">
      <w:pPr>
        <w:pStyle w:val="Heading3"/>
      </w:pPr>
      <w:r w:rsidRPr="00FC4067">
        <w:t>Employee Performance Management</w:t>
      </w:r>
    </w:p>
    <w:p w14:paraId="741D7685" w14:textId="734DFB17" w:rsidR="00EC04FF" w:rsidRPr="00FC4067" w:rsidRDefault="00EC04FF" w:rsidP="00CF0A4C">
      <w:r w:rsidRPr="00FC4067">
        <w:t>To support a culture of high performance and maximise the potential of employees, we have continued to implement initiatives and actions linked to the department</w:t>
      </w:r>
      <w:r w:rsidR="005309ED" w:rsidRPr="00FC4067">
        <w:t>’</w:t>
      </w:r>
      <w:r w:rsidRPr="00FC4067">
        <w:t xml:space="preserve">s Performance Excellence Framework. </w:t>
      </w:r>
    </w:p>
    <w:p w14:paraId="2958B871" w14:textId="77777777" w:rsidR="00EC04FF" w:rsidRPr="00FC4067" w:rsidRDefault="00EC04FF" w:rsidP="00CF0A4C">
      <w:r w:rsidRPr="00FC4067">
        <w:t>The Performance Excellence Framework highlights four key areas:</w:t>
      </w:r>
    </w:p>
    <w:p w14:paraId="4BA87EB9" w14:textId="77777777" w:rsidR="00EC04FF" w:rsidRPr="00FC4067" w:rsidRDefault="00EC04FF" w:rsidP="00096C6C">
      <w:pPr>
        <w:pStyle w:val="Bullets"/>
      </w:pPr>
      <w:r w:rsidRPr="00FC4067">
        <w:t>recruitment and induction</w:t>
      </w:r>
    </w:p>
    <w:p w14:paraId="1A12577A" w14:textId="77777777" w:rsidR="00EC04FF" w:rsidRPr="00FC4067" w:rsidRDefault="00EC04FF" w:rsidP="00096C6C">
      <w:pPr>
        <w:pStyle w:val="Bullets"/>
      </w:pPr>
      <w:r w:rsidRPr="00FC4067">
        <w:t>engagement</w:t>
      </w:r>
    </w:p>
    <w:p w14:paraId="4CB295BF" w14:textId="77777777" w:rsidR="00EC04FF" w:rsidRPr="00FC4067" w:rsidRDefault="00EC04FF" w:rsidP="00096C6C">
      <w:pPr>
        <w:pStyle w:val="Bullets"/>
      </w:pPr>
      <w:r w:rsidRPr="00FC4067">
        <w:t>performance and review</w:t>
      </w:r>
    </w:p>
    <w:p w14:paraId="7A27A397" w14:textId="77777777" w:rsidR="00EC04FF" w:rsidRPr="00FC4067" w:rsidRDefault="00EC04FF" w:rsidP="00096C6C">
      <w:pPr>
        <w:pStyle w:val="Bullets"/>
      </w:pPr>
      <w:r w:rsidRPr="00FC4067">
        <w:t>recognition and reward.</w:t>
      </w:r>
    </w:p>
    <w:p w14:paraId="4EAF9921" w14:textId="77777777" w:rsidR="00EC04FF" w:rsidRPr="00FC4067" w:rsidRDefault="00EC04FF" w:rsidP="00CF0A4C"/>
    <w:p w14:paraId="78F3300C" w14:textId="38F65337" w:rsidR="0081617D" w:rsidRPr="00FC4067" w:rsidRDefault="00EC04FF" w:rsidP="00CF0A4C">
      <w:pPr>
        <w:rPr>
          <w:color w:val="0033CC"/>
        </w:rPr>
      </w:pPr>
      <w:r w:rsidRPr="00FC4067">
        <w:t xml:space="preserve">During </w:t>
      </w:r>
      <w:r w:rsidR="000C39C3" w:rsidRPr="00FC4067">
        <w:t>2016–17</w:t>
      </w:r>
      <w:r w:rsidRPr="00FC4067">
        <w:t xml:space="preserve">, the department rolled out a suite of performance excellence resources including the newly developed Performance Excellence Framework (PEF) module, Leading Performance: Workplace Conversations. </w:t>
      </w:r>
      <w:r w:rsidR="00567C0F" w:rsidRPr="00FC4067">
        <w:t>Fifteen</w:t>
      </w:r>
      <w:r w:rsidRPr="00FC4067">
        <w:t xml:space="preserve"> workshops </w:t>
      </w:r>
      <w:r w:rsidR="003A04E8" w:rsidRPr="00FC4067">
        <w:t xml:space="preserve">with 176 attendees </w:t>
      </w:r>
      <w:r w:rsidRPr="00FC4067">
        <w:t>were rolled out across the state</w:t>
      </w:r>
      <w:r w:rsidR="00141DFA" w:rsidRPr="00FC4067">
        <w:t>:</w:t>
      </w:r>
      <w:r w:rsidRPr="00FC4067">
        <w:t xml:space="preserve"> eight Brisbane based and seven regional. The workshops will continue to be rolled out in </w:t>
      </w:r>
      <w:r w:rsidR="000C39C3" w:rsidRPr="00FC4067">
        <w:t>2017–18</w:t>
      </w:r>
      <w:r w:rsidRPr="00FC4067">
        <w:t xml:space="preserve">. </w:t>
      </w:r>
    </w:p>
    <w:p w14:paraId="24872BC8" w14:textId="77777777" w:rsidR="0081617D" w:rsidRPr="00FC4067" w:rsidRDefault="0081617D" w:rsidP="00792F33">
      <w:pPr>
        <w:pStyle w:val="Heading3"/>
      </w:pPr>
      <w:r w:rsidRPr="00FC4067">
        <w:t>Workplace Attendance</w:t>
      </w:r>
    </w:p>
    <w:p w14:paraId="031128E6" w14:textId="04B36514" w:rsidR="00EC04FF" w:rsidRPr="00FC4067" w:rsidRDefault="00EC04FF" w:rsidP="00CF0A4C">
      <w:r w:rsidRPr="00FC4067">
        <w:t xml:space="preserve">As at 30 June 2017, the annual unplanned absenteeism days per employee </w:t>
      </w:r>
      <w:r w:rsidR="00292B95" w:rsidRPr="00FC4067">
        <w:t xml:space="preserve">was </w:t>
      </w:r>
      <w:r w:rsidRPr="00FC4067">
        <w:t>10.39</w:t>
      </w:r>
      <w:r w:rsidR="00292B95" w:rsidRPr="00FC4067">
        <w:t xml:space="preserve"> days</w:t>
      </w:r>
      <w:r w:rsidRPr="00FC4067">
        <w:t>. This is a decrease by an average 0.4 days per employee against the 30 June 2016 result of 10.79.</w:t>
      </w:r>
    </w:p>
    <w:p w14:paraId="445AB547" w14:textId="67DF2D9C" w:rsidR="00EC04FF" w:rsidRPr="00FC4067" w:rsidRDefault="00EC04FF" w:rsidP="00CF0A4C">
      <w:r w:rsidRPr="00FC4067">
        <w:t xml:space="preserve">Addressing absenteeism is a priority for the department and the decrease in absenteeism during </w:t>
      </w:r>
      <w:r w:rsidR="000C39C3" w:rsidRPr="00FC4067">
        <w:t>2016–17</w:t>
      </w:r>
      <w:r w:rsidRPr="00FC4067">
        <w:t xml:space="preserve"> is attributed to ongoing as well as new strategies </w:t>
      </w:r>
      <w:r w:rsidR="00A961C2" w:rsidRPr="00FC4067">
        <w:t xml:space="preserve">that have been </w:t>
      </w:r>
      <w:r w:rsidRPr="00FC4067">
        <w:t>introduced, such as:</w:t>
      </w:r>
    </w:p>
    <w:p w14:paraId="66E947B3" w14:textId="44CBC619" w:rsidR="00EC04FF" w:rsidRPr="00FC4067" w:rsidRDefault="00D07C43" w:rsidP="00DC4782">
      <w:pPr>
        <w:pStyle w:val="EstimatesBullet1"/>
        <w:numPr>
          <w:ilvl w:val="0"/>
          <w:numId w:val="9"/>
        </w:numPr>
        <w:rPr>
          <w:sz w:val="22"/>
          <w:szCs w:val="22"/>
        </w:rPr>
      </w:pPr>
      <w:r w:rsidRPr="00FC4067">
        <w:rPr>
          <w:sz w:val="22"/>
          <w:szCs w:val="22"/>
        </w:rPr>
        <w:t xml:space="preserve">a </w:t>
      </w:r>
      <w:r w:rsidR="00EC04FF" w:rsidRPr="00FC4067">
        <w:rPr>
          <w:sz w:val="22"/>
          <w:szCs w:val="22"/>
        </w:rPr>
        <w:t>continued focus on the provision of employee and manager support services through the department’s Employee Assistance Services and the Early Intervention Centre to reduce the rate and impact of employee injury and illness, particularly psychological injury and illness</w:t>
      </w:r>
    </w:p>
    <w:p w14:paraId="1E7085E1" w14:textId="00CEF3E8" w:rsidR="00EC04FF" w:rsidRPr="00FC4067" w:rsidRDefault="00512439" w:rsidP="00DC4782">
      <w:pPr>
        <w:pStyle w:val="EstimatesBullet1"/>
        <w:numPr>
          <w:ilvl w:val="0"/>
          <w:numId w:val="9"/>
        </w:numPr>
        <w:rPr>
          <w:sz w:val="22"/>
          <w:szCs w:val="22"/>
        </w:rPr>
      </w:pPr>
      <w:r w:rsidRPr="00FC4067">
        <w:rPr>
          <w:sz w:val="22"/>
          <w:szCs w:val="22"/>
        </w:rPr>
        <w:t xml:space="preserve">the </w:t>
      </w:r>
      <w:r w:rsidR="00EC04FF" w:rsidRPr="00FC4067">
        <w:rPr>
          <w:sz w:val="22"/>
          <w:szCs w:val="22"/>
        </w:rPr>
        <w:t xml:space="preserve">development and implementation of the </w:t>
      </w:r>
      <w:r w:rsidR="00EC04FF" w:rsidRPr="00FC4067">
        <w:rPr>
          <w:i/>
          <w:sz w:val="22"/>
          <w:szCs w:val="22"/>
        </w:rPr>
        <w:t xml:space="preserve">Healthy and Safe Workforce Action Plan </w:t>
      </w:r>
      <w:r w:rsidR="000C39C3" w:rsidRPr="00FC4067">
        <w:rPr>
          <w:i/>
          <w:sz w:val="22"/>
          <w:szCs w:val="22"/>
        </w:rPr>
        <w:t>2016–18</w:t>
      </w:r>
      <w:r w:rsidR="00EC04FF" w:rsidRPr="00FC4067">
        <w:rPr>
          <w:sz w:val="22"/>
          <w:szCs w:val="22"/>
        </w:rPr>
        <w:t xml:space="preserve"> </w:t>
      </w:r>
    </w:p>
    <w:p w14:paraId="5DCCD923" w14:textId="7D5CFAD9" w:rsidR="00EC04FF" w:rsidRPr="00FC4067" w:rsidRDefault="00512439" w:rsidP="00DC4782">
      <w:pPr>
        <w:pStyle w:val="EstimatesBullet1"/>
        <w:numPr>
          <w:ilvl w:val="0"/>
          <w:numId w:val="9"/>
        </w:numPr>
        <w:rPr>
          <w:sz w:val="22"/>
          <w:szCs w:val="22"/>
        </w:rPr>
      </w:pPr>
      <w:r w:rsidRPr="00FC4067">
        <w:rPr>
          <w:sz w:val="22"/>
          <w:szCs w:val="22"/>
        </w:rPr>
        <w:t xml:space="preserve">the </w:t>
      </w:r>
      <w:r w:rsidR="00EC04FF" w:rsidRPr="00FC4067">
        <w:rPr>
          <w:sz w:val="22"/>
          <w:szCs w:val="22"/>
        </w:rPr>
        <w:t xml:space="preserve">delivery of the Mental Health Awareness </w:t>
      </w:r>
      <w:r w:rsidR="00A905BE">
        <w:rPr>
          <w:sz w:val="22"/>
          <w:szCs w:val="22"/>
        </w:rPr>
        <w:t>P</w:t>
      </w:r>
      <w:r w:rsidR="00EC04FF" w:rsidRPr="00FC4067">
        <w:rPr>
          <w:sz w:val="22"/>
          <w:szCs w:val="22"/>
        </w:rPr>
        <w:t xml:space="preserve">rogram </w:t>
      </w:r>
    </w:p>
    <w:p w14:paraId="16B2E9BC" w14:textId="3CB78A53" w:rsidR="00EC04FF" w:rsidRPr="00FC4067" w:rsidRDefault="00512439" w:rsidP="00DC4782">
      <w:pPr>
        <w:pStyle w:val="EstimatesBullet1"/>
        <w:numPr>
          <w:ilvl w:val="0"/>
          <w:numId w:val="9"/>
        </w:numPr>
        <w:rPr>
          <w:sz w:val="22"/>
          <w:szCs w:val="22"/>
        </w:rPr>
      </w:pPr>
      <w:r w:rsidRPr="00FC4067">
        <w:rPr>
          <w:sz w:val="22"/>
          <w:szCs w:val="22"/>
        </w:rPr>
        <w:t xml:space="preserve">the </w:t>
      </w:r>
      <w:r w:rsidR="00EC04FF" w:rsidRPr="00FC4067">
        <w:rPr>
          <w:sz w:val="22"/>
          <w:szCs w:val="22"/>
        </w:rPr>
        <w:t>delivery of the department’s Pathways Health and Wellbeing Program, including initiatives such as health assessments and flu vaccinations</w:t>
      </w:r>
    </w:p>
    <w:p w14:paraId="68BD98DA" w14:textId="691CB16C" w:rsidR="00EC04FF" w:rsidRPr="00FC4067" w:rsidRDefault="00512439" w:rsidP="00DC4782">
      <w:pPr>
        <w:pStyle w:val="EstimatesBullet1"/>
        <w:numPr>
          <w:ilvl w:val="0"/>
          <w:numId w:val="9"/>
        </w:numPr>
        <w:rPr>
          <w:sz w:val="22"/>
          <w:szCs w:val="22"/>
        </w:rPr>
      </w:pPr>
      <w:r w:rsidRPr="00FC4067">
        <w:rPr>
          <w:sz w:val="22"/>
          <w:szCs w:val="22"/>
        </w:rPr>
        <w:t xml:space="preserve">the </w:t>
      </w:r>
      <w:r w:rsidR="00EC04FF" w:rsidRPr="00FC4067">
        <w:rPr>
          <w:sz w:val="22"/>
          <w:szCs w:val="22"/>
        </w:rPr>
        <w:t xml:space="preserve">development of an Absence Management Guideline which provides consistency in the understanding and management of unplanned absenteeism, and outlines preventative measures as well as ongoing strategies that can be implemented to manage unplanned absenteeism </w:t>
      </w:r>
    </w:p>
    <w:p w14:paraId="01F0791C" w14:textId="58DEC280" w:rsidR="005407CF" w:rsidRPr="00FC4067" w:rsidRDefault="00C63757" w:rsidP="00DC4782">
      <w:pPr>
        <w:pStyle w:val="EstimatesBullet1"/>
        <w:numPr>
          <w:ilvl w:val="0"/>
          <w:numId w:val="9"/>
        </w:numPr>
        <w:rPr>
          <w:sz w:val="22"/>
          <w:szCs w:val="22"/>
        </w:rPr>
      </w:pPr>
      <w:r w:rsidRPr="00FC4067">
        <w:rPr>
          <w:sz w:val="22"/>
          <w:szCs w:val="22"/>
        </w:rPr>
        <w:t xml:space="preserve">the </w:t>
      </w:r>
      <w:r w:rsidR="00EC04FF" w:rsidRPr="00FC4067">
        <w:rPr>
          <w:sz w:val="22"/>
          <w:szCs w:val="22"/>
        </w:rPr>
        <w:t>provision of quarterly business area and employee unplanned absenteeism reports</w:t>
      </w:r>
    </w:p>
    <w:p w14:paraId="70A74F07" w14:textId="55BD9FAF" w:rsidR="0081617D" w:rsidRPr="00FC4067" w:rsidRDefault="00C63757" w:rsidP="00DC4782">
      <w:pPr>
        <w:pStyle w:val="EstimatesBullet1"/>
        <w:numPr>
          <w:ilvl w:val="0"/>
          <w:numId w:val="9"/>
        </w:numPr>
        <w:rPr>
          <w:sz w:val="22"/>
          <w:szCs w:val="22"/>
        </w:rPr>
      </w:pPr>
      <w:r w:rsidRPr="00FC4067">
        <w:rPr>
          <w:sz w:val="22"/>
          <w:szCs w:val="22"/>
        </w:rPr>
        <w:t xml:space="preserve">the </w:t>
      </w:r>
      <w:r w:rsidR="00EC04FF" w:rsidRPr="00FC4067">
        <w:rPr>
          <w:sz w:val="22"/>
          <w:szCs w:val="22"/>
        </w:rPr>
        <w:t>delivery of the Managing for Results Workplace Health and Safety training module including domestic and family violence, risk manag</w:t>
      </w:r>
      <w:r w:rsidR="00DD4870" w:rsidRPr="00FC4067">
        <w:rPr>
          <w:sz w:val="22"/>
          <w:szCs w:val="22"/>
        </w:rPr>
        <w:t>ement and workplace behaviours</w:t>
      </w:r>
    </w:p>
    <w:p w14:paraId="5536646E" w14:textId="03B330CE" w:rsidR="00DD4870" w:rsidRPr="00FC4067" w:rsidRDefault="000E33FE" w:rsidP="00DC4782">
      <w:pPr>
        <w:pStyle w:val="Bullets"/>
        <w:numPr>
          <w:ilvl w:val="0"/>
          <w:numId w:val="9"/>
        </w:numPr>
      </w:pPr>
      <w:r w:rsidRPr="00FC4067">
        <w:t>we a</w:t>
      </w:r>
      <w:r w:rsidR="00DD4870" w:rsidRPr="00FC4067">
        <w:t xml:space="preserve">ctively worked towards White Ribbon Australia Workplace Accreditation to further support employees affected by domestic and family violence. </w:t>
      </w:r>
    </w:p>
    <w:p w14:paraId="5D8FA24C" w14:textId="10FF8466" w:rsidR="0081617D" w:rsidRPr="00FC4067" w:rsidRDefault="0081617D" w:rsidP="00792F33">
      <w:pPr>
        <w:pStyle w:val="Heading3"/>
      </w:pPr>
      <w:r w:rsidRPr="00FC4067">
        <w:t>Leadership and Management Development</w:t>
      </w:r>
    </w:p>
    <w:p w14:paraId="2B3CB132" w14:textId="52EDD6B2" w:rsidR="00EC04FF" w:rsidRPr="00FC4067" w:rsidRDefault="00EC04FF" w:rsidP="00CF0A4C">
      <w:r w:rsidRPr="00FC4067">
        <w:t xml:space="preserve">Developing leadership and management capability remained a key focus in </w:t>
      </w:r>
      <w:r w:rsidR="000C39C3" w:rsidRPr="00FC4067">
        <w:t>2016–17</w:t>
      </w:r>
      <w:r w:rsidRPr="00FC4067">
        <w:t xml:space="preserve"> with the development of the new Taking the Lead program. This leadership focused program is aimed at further developing emerging or recently appointed leaders, with 34 departmental employees from across the state completing the program. </w:t>
      </w:r>
    </w:p>
    <w:p w14:paraId="52668ADA" w14:textId="73104CB1" w:rsidR="00EC04FF" w:rsidRPr="00FC4067" w:rsidRDefault="00EC04FF" w:rsidP="00CF0A4C">
      <w:r w:rsidRPr="00FC4067">
        <w:t xml:space="preserve">We continued the Managing for Results </w:t>
      </w:r>
      <w:r w:rsidR="00C14948">
        <w:t>P</w:t>
      </w:r>
      <w:r w:rsidRPr="00FC4067">
        <w:t xml:space="preserve">rogram to optimise individual and organisational productivity, performance </w:t>
      </w:r>
      <w:r w:rsidRPr="00FC4067">
        <w:lastRenderedPageBreak/>
        <w:t xml:space="preserve">and service delivery, with 63 departmental employees completing the program. </w:t>
      </w:r>
    </w:p>
    <w:p w14:paraId="42E9B62C" w14:textId="7C2A0B6B" w:rsidR="00EC04FF" w:rsidRPr="00FC4067" w:rsidRDefault="00EC04FF" w:rsidP="00CF0A4C">
      <w:r w:rsidRPr="00FC4067">
        <w:t>We continued to access the Emerging Leaders Program, facilitated by the Queensland University of Technology, to help employees develop skills to build and lead highly effective teams. A total of 86 departmental employees completed at least one module from this program.</w:t>
      </w:r>
    </w:p>
    <w:p w14:paraId="6B882E64" w14:textId="77777777" w:rsidR="00197DFC" w:rsidRPr="00FC4067" w:rsidRDefault="00197DFC" w:rsidP="00CF0A4C">
      <w:r w:rsidRPr="00FC4067">
        <w:t xml:space="preserve">We recruited 13 new graduates under three different programs. </w:t>
      </w:r>
    </w:p>
    <w:p w14:paraId="1AFE7BD2" w14:textId="535B17DD" w:rsidR="00EC04FF" w:rsidRPr="00FC4067" w:rsidRDefault="00EC04FF" w:rsidP="00CF0A4C">
      <w:r w:rsidRPr="00FC4067">
        <w:t>We continued to develop and add to the existing suite of performance excellence resources including the newly developed P</w:t>
      </w:r>
      <w:r w:rsidR="00A905BE">
        <w:t>erformance Excellence Framework</w:t>
      </w:r>
      <w:r w:rsidRPr="00FC4067">
        <w:t xml:space="preserve"> module, Leading Performance: Workplace Conversations and development and implementation of the Absence Management Guideline. </w:t>
      </w:r>
    </w:p>
    <w:p w14:paraId="43E3B4AB" w14:textId="133F906E" w:rsidR="003F1292" w:rsidRDefault="00EC04FF" w:rsidP="0099164B">
      <w:r w:rsidRPr="00FC4067">
        <w:t xml:space="preserve">The Public Service Commission provided various development offerings which were promoted and accessed by departmental employees in </w:t>
      </w:r>
      <w:r w:rsidR="000C39C3" w:rsidRPr="00FC4067">
        <w:t>2016–17</w:t>
      </w:r>
      <w:r w:rsidRPr="00FC4067">
        <w:t>.</w:t>
      </w:r>
      <w:r w:rsidR="00F67CE3" w:rsidRPr="00FC4067">
        <w:t xml:space="preserve"> </w:t>
      </w:r>
    </w:p>
    <w:p w14:paraId="43365849" w14:textId="77777777" w:rsidR="00DC4782" w:rsidRPr="00554FDB" w:rsidRDefault="00DC4782" w:rsidP="00DC4782">
      <w:pPr>
        <w:pStyle w:val="ARHeading4"/>
      </w:pPr>
      <w:r w:rsidRPr="00554FDB">
        <w:t>Investing in learning and development</w:t>
      </w:r>
    </w:p>
    <w:p w14:paraId="16E5C369" w14:textId="77777777" w:rsidR="00DC4782" w:rsidRDefault="00DC4782" w:rsidP="00DC4782">
      <w:r>
        <w:t>MyCareerHub is an innovative, e-learning system that enables staff to view and manage their training and development online, in one place.</w:t>
      </w:r>
    </w:p>
    <w:p w14:paraId="07865349" w14:textId="77777777" w:rsidR="00DC4782" w:rsidRDefault="00DC4782" w:rsidP="00DC4782">
      <w:r w:rsidRPr="00275E41">
        <w:t xml:space="preserve">Investing in our people </w:t>
      </w:r>
      <w:r>
        <w:t>is a key pillar of our One Department Strategy and it also helps us to achieve our broader organisational goals through</w:t>
      </w:r>
      <w:r w:rsidRPr="00275E41">
        <w:t xml:space="preserve"> performance excellence and workplace diversity</w:t>
      </w:r>
      <w:r>
        <w:t>. MyCareerHub is a great example of how the department is embracing new</w:t>
      </w:r>
      <w:r w:rsidRPr="00275E41">
        <w:t xml:space="preserve"> technology and tools to </w:t>
      </w:r>
      <w:r>
        <w:t>support</w:t>
      </w:r>
      <w:r w:rsidRPr="00275E41">
        <w:t xml:space="preserve"> responsive solutions, flexible operations and service innovations</w:t>
      </w:r>
      <w:r>
        <w:t>.</w:t>
      </w:r>
    </w:p>
    <w:p w14:paraId="4735DD94" w14:textId="77777777" w:rsidR="00DC4782" w:rsidRDefault="00DC4782" w:rsidP="00DC4782">
      <w:r>
        <w:t>MyCareerHub is accessible via a range of devices, supporting flexible working and the diverse needs of our office and field-based staff. The system enables users to complete mandatory training, as well as apply for more specialised development courses tailored to their roles.</w:t>
      </w:r>
    </w:p>
    <w:p w14:paraId="78824A3C" w14:textId="77777777" w:rsidR="00DC4782" w:rsidRPr="00554FDB" w:rsidRDefault="00DC4782" w:rsidP="00DC4782">
      <w:r>
        <w:t xml:space="preserve">The system has been a great success, with a high take up rate across the department. Over time, MyCareerHub will evolve and grow to encompass all learning and </w:t>
      </w:r>
      <w:r>
        <w:t xml:space="preserve">development at the Department of Housing and Public Works. </w:t>
      </w:r>
    </w:p>
    <w:p w14:paraId="08947FAA" w14:textId="77777777" w:rsidR="00DC4782" w:rsidRPr="00FC4067" w:rsidRDefault="00DC4782" w:rsidP="0099164B"/>
    <w:p w14:paraId="791AE4E6" w14:textId="77777777" w:rsidR="0081617D" w:rsidRPr="00FC4067" w:rsidRDefault="0081617D" w:rsidP="00792F33">
      <w:pPr>
        <w:pStyle w:val="Heading3"/>
      </w:pPr>
      <w:r w:rsidRPr="00FC4067">
        <w:t>Flexible Working Arrangements and Work-Life Balance</w:t>
      </w:r>
    </w:p>
    <w:p w14:paraId="49033A3B" w14:textId="0752E338" w:rsidR="00EC04FF" w:rsidRPr="00FC4067" w:rsidRDefault="00EC04FF" w:rsidP="00CF0A4C">
      <w:r w:rsidRPr="00FC4067">
        <w:t xml:space="preserve">In </w:t>
      </w:r>
      <w:r w:rsidR="000C39C3" w:rsidRPr="00FC4067">
        <w:t>2016–17</w:t>
      </w:r>
      <w:r w:rsidRPr="00FC4067">
        <w:t>, we continued our commitment to flexible working arrangements and work-life balance through the Flexible Work Arrangements Policy and supporting guideline.</w:t>
      </w:r>
    </w:p>
    <w:p w14:paraId="1BDDD495" w14:textId="3D601940" w:rsidR="00EC04FF" w:rsidRPr="00FC4067" w:rsidRDefault="00EC04FF" w:rsidP="00CF0A4C">
      <w:r w:rsidRPr="00FC4067">
        <w:t>We continue</w:t>
      </w:r>
      <w:r w:rsidR="00E936E2" w:rsidRPr="00FC4067">
        <w:t>d</w:t>
      </w:r>
      <w:r w:rsidRPr="00FC4067">
        <w:t xml:space="preserve"> to offer employees and their immediate family access to confidential, professional counselling to assist with the resolution of work or personal concerns that may impact on their work or quality of life.</w:t>
      </w:r>
    </w:p>
    <w:p w14:paraId="2831283B" w14:textId="03B86909" w:rsidR="00EC04FF" w:rsidRPr="00FC4067" w:rsidRDefault="00EC04FF" w:rsidP="00CF0A4C">
      <w:r w:rsidRPr="00FC4067">
        <w:t>The department</w:t>
      </w:r>
      <w:r w:rsidR="00172642" w:rsidRPr="00FC4067">
        <w:t xml:space="preserve"> continued its</w:t>
      </w:r>
      <w:r w:rsidRPr="00FC4067">
        <w:t xml:space="preserve"> commit</w:t>
      </w:r>
      <w:r w:rsidR="00172642" w:rsidRPr="00FC4067">
        <w:t>ment</w:t>
      </w:r>
      <w:r w:rsidRPr="00FC4067">
        <w:t xml:space="preserve"> to increasing the representation of key Equal Employment Opportunity (EEO) target groups in the workforce and to be a more inclusive and diverse workforce to ensure we reflect the community we serve</w:t>
      </w:r>
      <w:r w:rsidR="008E6D27" w:rsidRPr="00FC4067">
        <w:t xml:space="preserve">. </w:t>
      </w:r>
    </w:p>
    <w:p w14:paraId="00E11995" w14:textId="33E4B062" w:rsidR="00EC04FF" w:rsidRPr="00FC4067" w:rsidRDefault="00EC04FF" w:rsidP="00CF0A4C">
      <w:r w:rsidRPr="00FC4067">
        <w:t xml:space="preserve">Our departmental </w:t>
      </w:r>
      <w:r w:rsidRPr="00FC4067">
        <w:rPr>
          <w:i/>
        </w:rPr>
        <w:t>Inclusion and Diversity Plan 2015</w:t>
      </w:r>
      <w:r w:rsidR="00C45056" w:rsidRPr="00FC4067">
        <w:rPr>
          <w:i/>
        </w:rPr>
        <w:t>–</w:t>
      </w:r>
      <w:r w:rsidRPr="00FC4067">
        <w:rPr>
          <w:i/>
        </w:rPr>
        <w:t>20</w:t>
      </w:r>
      <w:r w:rsidRPr="00FC4067">
        <w:t xml:space="preserve"> supports employees by offering:</w:t>
      </w:r>
    </w:p>
    <w:p w14:paraId="569F1ACE" w14:textId="6B494F37" w:rsidR="00EC04FF" w:rsidRPr="00FC4067" w:rsidRDefault="00EC04FF" w:rsidP="00DC4782">
      <w:pPr>
        <w:pStyle w:val="EstimatesBullet1"/>
        <w:numPr>
          <w:ilvl w:val="0"/>
          <w:numId w:val="9"/>
        </w:numPr>
        <w:rPr>
          <w:sz w:val="22"/>
          <w:szCs w:val="22"/>
        </w:rPr>
      </w:pPr>
      <w:r w:rsidRPr="00FC4067">
        <w:rPr>
          <w:sz w:val="22"/>
          <w:szCs w:val="22"/>
        </w:rPr>
        <w:t>numerous flexible working arrangements</w:t>
      </w:r>
    </w:p>
    <w:p w14:paraId="30D43B16" w14:textId="3AA68CE1" w:rsidR="00EC04FF" w:rsidRPr="00FC4067" w:rsidRDefault="00EC04FF" w:rsidP="00DC4782">
      <w:pPr>
        <w:pStyle w:val="EstimatesBullet1"/>
        <w:numPr>
          <w:ilvl w:val="0"/>
          <w:numId w:val="9"/>
        </w:numPr>
        <w:rPr>
          <w:sz w:val="22"/>
          <w:szCs w:val="22"/>
        </w:rPr>
      </w:pPr>
      <w:r w:rsidRPr="00FC4067">
        <w:rPr>
          <w:sz w:val="22"/>
          <w:szCs w:val="22"/>
        </w:rPr>
        <w:t>reasonable adjustments in the workplace to support employees with a disability</w:t>
      </w:r>
    </w:p>
    <w:p w14:paraId="58EB8FA9" w14:textId="3C759803" w:rsidR="00EC04FF" w:rsidRPr="00FC4067" w:rsidRDefault="00EC04FF" w:rsidP="00DC4782">
      <w:pPr>
        <w:pStyle w:val="EstimatesBullet1"/>
        <w:numPr>
          <w:ilvl w:val="0"/>
          <w:numId w:val="9"/>
        </w:numPr>
        <w:rPr>
          <w:sz w:val="22"/>
          <w:szCs w:val="22"/>
        </w:rPr>
      </w:pPr>
      <w:r w:rsidRPr="00FC4067">
        <w:rPr>
          <w:sz w:val="22"/>
          <w:szCs w:val="22"/>
        </w:rPr>
        <w:t xml:space="preserve">access to Unconscious Bias training across the state </w:t>
      </w:r>
    </w:p>
    <w:p w14:paraId="5FF329F9" w14:textId="251397CD" w:rsidR="00EC04FF" w:rsidRPr="00FC4067" w:rsidRDefault="00EC04FF" w:rsidP="00DC4782">
      <w:pPr>
        <w:pStyle w:val="EstimatesBullet1"/>
        <w:numPr>
          <w:ilvl w:val="0"/>
          <w:numId w:val="9"/>
        </w:numPr>
        <w:rPr>
          <w:sz w:val="22"/>
          <w:szCs w:val="22"/>
        </w:rPr>
      </w:pPr>
      <w:r w:rsidRPr="00FC4067">
        <w:rPr>
          <w:sz w:val="22"/>
          <w:szCs w:val="22"/>
        </w:rPr>
        <w:t>OWL Group (Our Women in Leadership)</w:t>
      </w:r>
    </w:p>
    <w:p w14:paraId="6627BAF8" w14:textId="5D2A6F3F" w:rsidR="00EC04FF" w:rsidRPr="00FC4067" w:rsidRDefault="00EC04FF" w:rsidP="00DC4782">
      <w:pPr>
        <w:pStyle w:val="EstimatesBullet1"/>
        <w:numPr>
          <w:ilvl w:val="0"/>
          <w:numId w:val="9"/>
        </w:numPr>
        <w:rPr>
          <w:sz w:val="22"/>
          <w:szCs w:val="22"/>
        </w:rPr>
      </w:pPr>
      <w:r w:rsidRPr="00FC4067">
        <w:rPr>
          <w:sz w:val="22"/>
          <w:szCs w:val="22"/>
        </w:rPr>
        <w:t>enhanced knowledge and capability to support better outcomes for Aboriginal and Torres Strait Islander staff, clients and communities through the Cultural Capability Awareness Training.</w:t>
      </w:r>
    </w:p>
    <w:p w14:paraId="1ED8D33D" w14:textId="6F45EE65" w:rsidR="0081617D" w:rsidRPr="00FC4067" w:rsidRDefault="0081617D" w:rsidP="00792F33">
      <w:pPr>
        <w:pStyle w:val="Heading3"/>
      </w:pPr>
      <w:r w:rsidRPr="00FC4067">
        <w:t>Workplace Health</w:t>
      </w:r>
      <w:r w:rsidR="00EC04FF" w:rsidRPr="00FC4067">
        <w:t>,</w:t>
      </w:r>
      <w:r w:rsidRPr="00FC4067">
        <w:t xml:space="preserve"> Safety</w:t>
      </w:r>
      <w:r w:rsidR="00EC04FF" w:rsidRPr="00FC4067">
        <w:t xml:space="preserve"> and Wellbeing </w:t>
      </w:r>
    </w:p>
    <w:p w14:paraId="2895FFCB" w14:textId="0276D0DF" w:rsidR="00EC04FF" w:rsidRPr="00FC4067" w:rsidRDefault="00EC04FF" w:rsidP="00CF0A4C">
      <w:r w:rsidRPr="00FC4067">
        <w:t>We continued to support the five Queensland public sector values, as well as an additional value of a Healthy and Safe Workforce, including committing to a culture of zero harm.</w:t>
      </w:r>
    </w:p>
    <w:p w14:paraId="1D82CB4A" w14:textId="161B223F" w:rsidR="00EC04FF" w:rsidRPr="00FC4067" w:rsidRDefault="00EC04FF" w:rsidP="00CF0A4C">
      <w:r w:rsidRPr="00FC4067">
        <w:t xml:space="preserve">In </w:t>
      </w:r>
      <w:r w:rsidR="000C39C3" w:rsidRPr="00FC4067">
        <w:t>2016–17</w:t>
      </w:r>
      <w:r w:rsidRPr="00FC4067">
        <w:t xml:space="preserve">, our workplace health and safety performance continued to trend </w:t>
      </w:r>
      <w:r w:rsidRPr="00FC4067">
        <w:lastRenderedPageBreak/>
        <w:t xml:space="preserve">positively, achieving a reduction in workers’ compensation statutory costs. </w:t>
      </w:r>
    </w:p>
    <w:p w14:paraId="18B2A57B" w14:textId="5EC635A8" w:rsidR="00DD4870" w:rsidRPr="00FC4067" w:rsidRDefault="00DD4870" w:rsidP="00CF0A4C">
      <w:r w:rsidRPr="00FC4067">
        <w:t xml:space="preserve">We also actively worked towards White Ribbon Australia Workplace Accreditation to further support employees affected by domestic and family violence. </w:t>
      </w:r>
    </w:p>
    <w:p w14:paraId="3DBDA6BB" w14:textId="55834844" w:rsidR="00EC04FF" w:rsidRPr="00FC4067" w:rsidRDefault="00EC04FF" w:rsidP="00CF0A4C">
      <w:r w:rsidRPr="00FC4067">
        <w:t>Key achievements</w:t>
      </w:r>
      <w:r w:rsidR="0048030C" w:rsidRPr="00FC4067">
        <w:t xml:space="preserve"> include</w:t>
      </w:r>
      <w:r w:rsidRPr="00FC4067">
        <w:t>:</w:t>
      </w:r>
    </w:p>
    <w:p w14:paraId="2FB22D66" w14:textId="7F71C0A4" w:rsidR="00EC04FF" w:rsidRPr="00FC4067" w:rsidRDefault="00C03419" w:rsidP="00096C6C">
      <w:pPr>
        <w:pStyle w:val="Bullets"/>
      </w:pPr>
      <w:r w:rsidRPr="00FC4067">
        <w:t>t</w:t>
      </w:r>
      <w:r w:rsidR="00EC04FF" w:rsidRPr="00FC4067">
        <w:t xml:space="preserve">he Building and Asset Services safety management system successfully recertified to </w:t>
      </w:r>
      <w:r w:rsidR="00EC04FF" w:rsidRPr="00912E38">
        <w:rPr>
          <w:i/>
        </w:rPr>
        <w:t>AS/NZS 4801:2001 Occupational health and safety management systems</w:t>
      </w:r>
    </w:p>
    <w:p w14:paraId="6184773F" w14:textId="4FD69EB9" w:rsidR="00EC04FF" w:rsidRPr="00FC4067" w:rsidRDefault="00EC04FF" w:rsidP="00096C6C">
      <w:pPr>
        <w:pStyle w:val="Bullets"/>
      </w:pPr>
      <w:r w:rsidRPr="00FC4067">
        <w:t>the online workplace health and safety induction for contractors engaged by Building and Asset Services</w:t>
      </w:r>
      <w:r w:rsidR="005C3D23" w:rsidRPr="00FC4067">
        <w:t xml:space="preserve"> was implemented</w:t>
      </w:r>
    </w:p>
    <w:p w14:paraId="31DF99E2" w14:textId="372D3989" w:rsidR="00EC04FF" w:rsidRPr="00FC4067" w:rsidRDefault="00C03419" w:rsidP="00096C6C">
      <w:pPr>
        <w:pStyle w:val="Bullets"/>
      </w:pPr>
      <w:r w:rsidRPr="00FC4067">
        <w:t>o</w:t>
      </w:r>
      <w:r w:rsidR="00EC04FF" w:rsidRPr="00FC4067">
        <w:t>ver 950 employees attended mental health awareness training</w:t>
      </w:r>
    </w:p>
    <w:p w14:paraId="6A1F3F74" w14:textId="01F15C9B" w:rsidR="00EC04FF" w:rsidRPr="00FC4067" w:rsidRDefault="00C03419" w:rsidP="00096C6C">
      <w:pPr>
        <w:pStyle w:val="Bullets"/>
      </w:pPr>
      <w:r w:rsidRPr="00FC4067">
        <w:t>o</w:t>
      </w:r>
      <w:r w:rsidR="00EC04FF" w:rsidRPr="00FC4067">
        <w:t xml:space="preserve">ver 650 health assessments </w:t>
      </w:r>
      <w:r w:rsidR="00C979B8" w:rsidRPr="00FC4067">
        <w:t xml:space="preserve">being </w:t>
      </w:r>
      <w:r w:rsidR="00EC04FF" w:rsidRPr="00FC4067">
        <w:t>conducted</w:t>
      </w:r>
    </w:p>
    <w:p w14:paraId="57826EC7" w14:textId="277749D5" w:rsidR="00EC04FF" w:rsidRPr="00FC4067" w:rsidRDefault="00C03419" w:rsidP="00D675BC">
      <w:pPr>
        <w:pStyle w:val="Bullets"/>
      </w:pPr>
      <w:r w:rsidRPr="00FC4067">
        <w:t>o</w:t>
      </w:r>
      <w:r w:rsidR="00EC04FF" w:rsidRPr="00FC4067">
        <w:t xml:space="preserve">ver 1,480 seasonal influenza vaccinations </w:t>
      </w:r>
      <w:r w:rsidR="00C979B8" w:rsidRPr="00FC4067">
        <w:t xml:space="preserve">being </w:t>
      </w:r>
      <w:r w:rsidR="00EC04FF" w:rsidRPr="00FC4067">
        <w:t>administered.</w:t>
      </w:r>
    </w:p>
    <w:p w14:paraId="41E09FCF" w14:textId="7D0608EB" w:rsidR="00EC04FF" w:rsidRPr="00FC4067" w:rsidRDefault="00EC04FF" w:rsidP="00CF0A4C">
      <w:r w:rsidRPr="00FC4067">
        <w:t xml:space="preserve">In </w:t>
      </w:r>
      <w:r w:rsidR="000C39C3" w:rsidRPr="00FC4067">
        <w:t>2016–17</w:t>
      </w:r>
      <w:r w:rsidRPr="00FC4067">
        <w:t>, the results of the Working for Queensland Survey, Department of Housing and Public Works demonstrates the ongoing consistency with respect to how staff perceive workplace safety in the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4"/>
        <w:gridCol w:w="865"/>
        <w:gridCol w:w="817"/>
        <w:gridCol w:w="790"/>
      </w:tblGrid>
      <w:tr w:rsidR="00EC04FF" w:rsidRPr="00FC4067" w14:paraId="621CEC61" w14:textId="77777777" w:rsidTr="5E3A9904">
        <w:trPr>
          <w:trHeight w:val="60"/>
        </w:trPr>
        <w:tc>
          <w:tcPr>
            <w:tcW w:w="2130" w:type="pct"/>
            <w:shd w:val="clear" w:color="auto" w:fill="BFBFBF" w:themeFill="background1" w:themeFillShade="BF"/>
            <w:tcMar>
              <w:top w:w="80" w:type="dxa"/>
              <w:left w:w="80" w:type="dxa"/>
              <w:bottom w:w="80" w:type="dxa"/>
              <w:right w:w="80" w:type="dxa"/>
            </w:tcMar>
          </w:tcPr>
          <w:p w14:paraId="615FA808" w14:textId="77777777" w:rsidR="00EC04FF" w:rsidRPr="00AF428A" w:rsidRDefault="00EC04FF" w:rsidP="00CF0A4C">
            <w:pPr>
              <w:rPr>
                <w:rFonts w:cs="MetaNormalLF-Roman"/>
                <w:b/>
                <w:lang w:val="en-US"/>
              </w:rPr>
            </w:pPr>
            <w:r w:rsidRPr="00FC4067">
              <w:rPr>
                <w:b/>
                <w:lang w:val="en-US"/>
              </w:rPr>
              <w:t>Question</w:t>
            </w:r>
          </w:p>
        </w:tc>
        <w:tc>
          <w:tcPr>
            <w:tcW w:w="1004" w:type="pct"/>
            <w:shd w:val="clear" w:color="auto" w:fill="BFBFBF" w:themeFill="background1" w:themeFillShade="BF"/>
            <w:tcMar>
              <w:top w:w="80" w:type="dxa"/>
              <w:left w:w="80" w:type="dxa"/>
              <w:bottom w:w="80" w:type="dxa"/>
              <w:right w:w="80" w:type="dxa"/>
            </w:tcMar>
          </w:tcPr>
          <w:p w14:paraId="2DBE20F6" w14:textId="77777777" w:rsidR="00EC04FF" w:rsidRPr="00AF428A" w:rsidRDefault="00EC04FF" w:rsidP="00CF0A4C">
            <w:pPr>
              <w:rPr>
                <w:rFonts w:cs="MetaNormalLF-Roman"/>
                <w:b/>
                <w:lang w:val="en-US"/>
              </w:rPr>
            </w:pPr>
            <w:r w:rsidRPr="00FC4067">
              <w:rPr>
                <w:b/>
                <w:lang w:val="en-US"/>
              </w:rPr>
              <w:t>2014</w:t>
            </w:r>
          </w:p>
        </w:tc>
        <w:tc>
          <w:tcPr>
            <w:tcW w:w="949" w:type="pct"/>
            <w:shd w:val="clear" w:color="auto" w:fill="BFBFBF" w:themeFill="background1" w:themeFillShade="BF"/>
            <w:tcMar>
              <w:top w:w="80" w:type="dxa"/>
              <w:left w:w="80" w:type="dxa"/>
              <w:bottom w:w="80" w:type="dxa"/>
              <w:right w:w="80" w:type="dxa"/>
            </w:tcMar>
          </w:tcPr>
          <w:p w14:paraId="72033FFA" w14:textId="77777777" w:rsidR="00EC04FF" w:rsidRPr="00AF428A" w:rsidRDefault="00EC04FF" w:rsidP="00CF0A4C">
            <w:pPr>
              <w:rPr>
                <w:rFonts w:cs="MetaNormalLF-Roman"/>
                <w:b/>
                <w:lang w:val="en-US"/>
              </w:rPr>
            </w:pPr>
            <w:r w:rsidRPr="00FC4067">
              <w:rPr>
                <w:b/>
                <w:lang w:val="en-US"/>
              </w:rPr>
              <w:t>2015</w:t>
            </w:r>
          </w:p>
        </w:tc>
        <w:tc>
          <w:tcPr>
            <w:tcW w:w="917" w:type="pct"/>
            <w:shd w:val="clear" w:color="auto" w:fill="BFBFBF" w:themeFill="background1" w:themeFillShade="BF"/>
            <w:tcMar>
              <w:top w:w="80" w:type="dxa"/>
              <w:left w:w="80" w:type="dxa"/>
              <w:bottom w:w="80" w:type="dxa"/>
              <w:right w:w="80" w:type="dxa"/>
            </w:tcMar>
          </w:tcPr>
          <w:p w14:paraId="01BA4605" w14:textId="77777777" w:rsidR="00EC04FF" w:rsidRPr="00AF428A" w:rsidRDefault="00EC04FF" w:rsidP="00CF0A4C">
            <w:pPr>
              <w:rPr>
                <w:rFonts w:cs="MetaNormalLF-Roman"/>
                <w:b/>
                <w:lang w:val="en-US"/>
              </w:rPr>
            </w:pPr>
            <w:r w:rsidRPr="00FC4067">
              <w:rPr>
                <w:b/>
                <w:lang w:val="en-US"/>
              </w:rPr>
              <w:t>2016</w:t>
            </w:r>
          </w:p>
        </w:tc>
      </w:tr>
      <w:tr w:rsidR="00EC04FF" w:rsidRPr="00FC4067" w14:paraId="632B57C9" w14:textId="77777777" w:rsidTr="5E3A9904">
        <w:trPr>
          <w:trHeight w:val="60"/>
        </w:trPr>
        <w:tc>
          <w:tcPr>
            <w:tcW w:w="2130" w:type="pct"/>
            <w:shd w:val="clear" w:color="auto" w:fill="auto"/>
            <w:tcMar>
              <w:top w:w="80" w:type="dxa"/>
              <w:left w:w="80" w:type="dxa"/>
              <w:bottom w:w="80" w:type="dxa"/>
              <w:right w:w="80" w:type="dxa"/>
            </w:tcMar>
          </w:tcPr>
          <w:p w14:paraId="0AA538C9" w14:textId="77777777" w:rsidR="00EC04FF" w:rsidRPr="00FC4067" w:rsidRDefault="00EC04FF" w:rsidP="00CF0A4C">
            <w:pPr>
              <w:rPr>
                <w:lang w:val="en-US"/>
              </w:rPr>
            </w:pPr>
            <w:r w:rsidRPr="00FC4067">
              <w:rPr>
                <w:lang w:val="en-US"/>
              </w:rPr>
              <w:t>There is adequate focus on workplace safety at my workplace</w:t>
            </w:r>
          </w:p>
        </w:tc>
        <w:tc>
          <w:tcPr>
            <w:tcW w:w="1004" w:type="pct"/>
            <w:shd w:val="clear" w:color="auto" w:fill="auto"/>
            <w:tcMar>
              <w:top w:w="80" w:type="dxa"/>
              <w:left w:w="80" w:type="dxa"/>
              <w:bottom w:w="80" w:type="dxa"/>
              <w:right w:w="80" w:type="dxa"/>
            </w:tcMar>
          </w:tcPr>
          <w:p w14:paraId="7F801E94" w14:textId="77777777" w:rsidR="00EC04FF" w:rsidRPr="00FC4067" w:rsidRDefault="00EC04FF" w:rsidP="00CF0A4C">
            <w:pPr>
              <w:rPr>
                <w:lang w:val="en-US"/>
              </w:rPr>
            </w:pPr>
            <w:r w:rsidRPr="00FC4067">
              <w:rPr>
                <w:lang w:val="en-US"/>
              </w:rPr>
              <w:t>81%</w:t>
            </w:r>
          </w:p>
        </w:tc>
        <w:tc>
          <w:tcPr>
            <w:tcW w:w="949" w:type="pct"/>
            <w:shd w:val="clear" w:color="auto" w:fill="auto"/>
            <w:tcMar>
              <w:top w:w="80" w:type="dxa"/>
              <w:left w:w="80" w:type="dxa"/>
              <w:bottom w:w="80" w:type="dxa"/>
              <w:right w:w="80" w:type="dxa"/>
            </w:tcMar>
          </w:tcPr>
          <w:p w14:paraId="7122105E" w14:textId="77777777" w:rsidR="00EC04FF" w:rsidRPr="00FC4067" w:rsidRDefault="00EC04FF" w:rsidP="00CF0A4C">
            <w:pPr>
              <w:rPr>
                <w:lang w:val="en-US"/>
              </w:rPr>
            </w:pPr>
            <w:r w:rsidRPr="00FC4067">
              <w:rPr>
                <w:lang w:val="en-US"/>
              </w:rPr>
              <w:t>85%</w:t>
            </w:r>
          </w:p>
        </w:tc>
        <w:tc>
          <w:tcPr>
            <w:tcW w:w="917" w:type="pct"/>
            <w:shd w:val="clear" w:color="auto" w:fill="auto"/>
            <w:tcMar>
              <w:top w:w="80" w:type="dxa"/>
              <w:left w:w="80" w:type="dxa"/>
              <w:bottom w:w="80" w:type="dxa"/>
              <w:right w:w="80" w:type="dxa"/>
            </w:tcMar>
          </w:tcPr>
          <w:p w14:paraId="42DAE90C" w14:textId="77777777" w:rsidR="00EC04FF" w:rsidRPr="00FC4067" w:rsidRDefault="00EC04FF" w:rsidP="00CF0A4C">
            <w:pPr>
              <w:rPr>
                <w:lang w:val="en-US"/>
              </w:rPr>
            </w:pPr>
            <w:r w:rsidRPr="00FC4067">
              <w:rPr>
                <w:lang w:val="en-US"/>
              </w:rPr>
              <w:t>84%</w:t>
            </w:r>
          </w:p>
        </w:tc>
      </w:tr>
      <w:tr w:rsidR="00EC04FF" w:rsidRPr="00FC4067" w14:paraId="0A6FEF81" w14:textId="77777777" w:rsidTr="5E3A9904">
        <w:trPr>
          <w:trHeight w:val="60"/>
        </w:trPr>
        <w:tc>
          <w:tcPr>
            <w:tcW w:w="2130" w:type="pct"/>
            <w:shd w:val="clear" w:color="auto" w:fill="auto"/>
            <w:tcMar>
              <w:top w:w="80" w:type="dxa"/>
              <w:left w:w="80" w:type="dxa"/>
              <w:bottom w:w="80" w:type="dxa"/>
              <w:right w:w="80" w:type="dxa"/>
            </w:tcMar>
          </w:tcPr>
          <w:p w14:paraId="10D39F7A" w14:textId="77777777" w:rsidR="00EC04FF" w:rsidRPr="00FC4067" w:rsidRDefault="00EC04FF" w:rsidP="00CF0A4C">
            <w:pPr>
              <w:rPr>
                <w:lang w:val="en-US"/>
              </w:rPr>
            </w:pPr>
            <w:r w:rsidRPr="00FC4067">
              <w:rPr>
                <w:lang w:val="en-US"/>
              </w:rPr>
              <w:t>People in my workgroup are committed to workplace safety</w:t>
            </w:r>
          </w:p>
        </w:tc>
        <w:tc>
          <w:tcPr>
            <w:tcW w:w="1004" w:type="pct"/>
            <w:shd w:val="clear" w:color="auto" w:fill="auto"/>
            <w:tcMar>
              <w:top w:w="80" w:type="dxa"/>
              <w:left w:w="80" w:type="dxa"/>
              <w:bottom w:w="80" w:type="dxa"/>
              <w:right w:w="80" w:type="dxa"/>
            </w:tcMar>
          </w:tcPr>
          <w:p w14:paraId="2199BC8D" w14:textId="77777777" w:rsidR="00EC04FF" w:rsidRPr="00FC4067" w:rsidRDefault="00EC04FF" w:rsidP="00CF0A4C">
            <w:pPr>
              <w:rPr>
                <w:lang w:val="en-US"/>
              </w:rPr>
            </w:pPr>
            <w:r w:rsidRPr="00FC4067">
              <w:rPr>
                <w:lang w:val="en-US"/>
              </w:rPr>
              <w:t>85%</w:t>
            </w:r>
          </w:p>
        </w:tc>
        <w:tc>
          <w:tcPr>
            <w:tcW w:w="949" w:type="pct"/>
            <w:shd w:val="clear" w:color="auto" w:fill="auto"/>
            <w:tcMar>
              <w:top w:w="80" w:type="dxa"/>
              <w:left w:w="80" w:type="dxa"/>
              <w:bottom w:w="80" w:type="dxa"/>
              <w:right w:w="80" w:type="dxa"/>
            </w:tcMar>
          </w:tcPr>
          <w:p w14:paraId="21E32DAA" w14:textId="77777777" w:rsidR="00EC04FF" w:rsidRPr="00FC4067" w:rsidRDefault="00EC04FF" w:rsidP="00CF0A4C">
            <w:pPr>
              <w:rPr>
                <w:lang w:val="en-US"/>
              </w:rPr>
            </w:pPr>
            <w:r w:rsidRPr="00FC4067">
              <w:rPr>
                <w:lang w:val="en-US"/>
              </w:rPr>
              <w:t>87%</w:t>
            </w:r>
          </w:p>
        </w:tc>
        <w:tc>
          <w:tcPr>
            <w:tcW w:w="917" w:type="pct"/>
            <w:shd w:val="clear" w:color="auto" w:fill="auto"/>
            <w:tcMar>
              <w:top w:w="80" w:type="dxa"/>
              <w:left w:w="80" w:type="dxa"/>
              <w:bottom w:w="80" w:type="dxa"/>
              <w:right w:w="80" w:type="dxa"/>
            </w:tcMar>
          </w:tcPr>
          <w:p w14:paraId="235B8E54" w14:textId="77777777" w:rsidR="00EC04FF" w:rsidRPr="00FC4067" w:rsidRDefault="00EC04FF" w:rsidP="00CF0A4C">
            <w:pPr>
              <w:rPr>
                <w:lang w:val="en-US"/>
              </w:rPr>
            </w:pPr>
            <w:r w:rsidRPr="00FC4067">
              <w:rPr>
                <w:lang w:val="en-US"/>
              </w:rPr>
              <w:t>86%</w:t>
            </w:r>
          </w:p>
        </w:tc>
      </w:tr>
    </w:tbl>
    <w:p w14:paraId="194C5FC7" w14:textId="77777777" w:rsidR="0081617D" w:rsidRPr="00FC4067" w:rsidRDefault="0081617D" w:rsidP="00CF0A4C">
      <w:pPr>
        <w:rPr>
          <w:lang w:val="en-US"/>
        </w:rPr>
      </w:pPr>
    </w:p>
    <w:p w14:paraId="6B852771" w14:textId="77777777" w:rsidR="0081617D" w:rsidRPr="00FC4067" w:rsidRDefault="0081617D" w:rsidP="00792F33">
      <w:pPr>
        <w:pStyle w:val="Heading3"/>
      </w:pPr>
      <w:r w:rsidRPr="00FC4067">
        <w:t>Industrial and Employee Relations Framework</w:t>
      </w:r>
    </w:p>
    <w:p w14:paraId="7119D2BA" w14:textId="29AD522C" w:rsidR="00EC04FF" w:rsidRPr="00FC4067" w:rsidRDefault="00EC04FF" w:rsidP="00096C6C">
      <w:pPr>
        <w:pStyle w:val="Bullets"/>
        <w:numPr>
          <w:ilvl w:val="0"/>
          <w:numId w:val="0"/>
        </w:numPr>
      </w:pPr>
      <w:r w:rsidRPr="00FC4067">
        <w:t xml:space="preserve">The </w:t>
      </w:r>
      <w:r w:rsidRPr="00FC4067">
        <w:rPr>
          <w:i/>
          <w:iCs/>
        </w:rPr>
        <w:t>Industrial Relations Act 2016</w:t>
      </w:r>
      <w:r w:rsidRPr="00FC4067">
        <w:t xml:space="preserve">, which replaced the previous </w:t>
      </w:r>
      <w:r w:rsidRPr="00FC4067">
        <w:rPr>
          <w:i/>
          <w:iCs/>
        </w:rPr>
        <w:t>Industrial Relations Act 1999</w:t>
      </w:r>
      <w:r w:rsidRPr="00FC4067">
        <w:t xml:space="preserve">, commenced on 1 March 2017. </w:t>
      </w:r>
      <w:r w:rsidRPr="00FC4067">
        <w:t xml:space="preserve">Prior to 1 March 2017, all departmental employees were covered by modern awards, with the exception of Building and Asset Services field staff, who were covered by pre-modernisation awards. On commencement of the </w:t>
      </w:r>
      <w:r w:rsidRPr="00FC4067">
        <w:rPr>
          <w:i/>
          <w:iCs/>
        </w:rPr>
        <w:t xml:space="preserve">Industrial Relations Act 2016 </w:t>
      </w:r>
      <w:r w:rsidRPr="00FC4067">
        <w:t>(on 1 March 2017) the relevant modern award commenced applying to B</w:t>
      </w:r>
      <w:r w:rsidR="009E2388" w:rsidRPr="00FC4067">
        <w:t xml:space="preserve">uilding and </w:t>
      </w:r>
      <w:r w:rsidRPr="00FC4067">
        <w:t>A</w:t>
      </w:r>
      <w:r w:rsidR="009E2388" w:rsidRPr="00FC4067">
        <w:t xml:space="preserve">sset </w:t>
      </w:r>
      <w:r w:rsidRPr="00FC4067">
        <w:t>S</w:t>
      </w:r>
      <w:r w:rsidR="009E2388" w:rsidRPr="00FC4067">
        <w:t>ervices</w:t>
      </w:r>
      <w:r w:rsidRPr="00FC4067">
        <w:t xml:space="preserve"> field staff. As such, as of 1 March 2017, all departmental employees are now covered by a modern award.</w:t>
      </w:r>
    </w:p>
    <w:p w14:paraId="06B61DAD" w14:textId="77777777" w:rsidR="00EC04FF" w:rsidRPr="00FC4067" w:rsidRDefault="00EC04FF" w:rsidP="00096C6C">
      <w:pPr>
        <w:pStyle w:val="Bullets"/>
        <w:numPr>
          <w:ilvl w:val="0"/>
          <w:numId w:val="0"/>
        </w:numPr>
      </w:pPr>
      <w:r w:rsidRPr="00FC4067">
        <w:t>There are four certified agreements covering the employees in the department:</w:t>
      </w:r>
    </w:p>
    <w:p w14:paraId="139D2787" w14:textId="77777777" w:rsidR="00EC04FF" w:rsidRPr="00FC4067" w:rsidRDefault="00EC04FF" w:rsidP="00096C6C">
      <w:pPr>
        <w:pStyle w:val="Bullets"/>
      </w:pPr>
      <w:r w:rsidRPr="00912E38">
        <w:rPr>
          <w:i/>
        </w:rPr>
        <w:t xml:space="preserve">QBuild Field Staff Certified Agreement 8 (2011) </w:t>
      </w:r>
      <w:r w:rsidRPr="00FC4067">
        <w:t>– covering Building and Asset Services field staff</w:t>
      </w:r>
    </w:p>
    <w:p w14:paraId="0F0229EE" w14:textId="77777777" w:rsidR="00EC04FF" w:rsidRPr="00FC4067" w:rsidRDefault="00EC04FF" w:rsidP="00096C6C">
      <w:pPr>
        <w:pStyle w:val="Bullets"/>
      </w:pPr>
      <w:r w:rsidRPr="00096C6C">
        <w:t>Building and Asset Services Office Staff Certified Agreement 2016</w:t>
      </w:r>
      <w:r w:rsidRPr="00FC4067">
        <w:t xml:space="preserve"> – covering Building and Asset Services office staff</w:t>
      </w:r>
    </w:p>
    <w:p w14:paraId="610F58AA" w14:textId="77777777" w:rsidR="00EC04FF" w:rsidRPr="00FC4067" w:rsidRDefault="00EC04FF" w:rsidP="00D675BC">
      <w:pPr>
        <w:pStyle w:val="Bullets"/>
      </w:pPr>
      <w:r w:rsidRPr="00096C6C">
        <w:t>QFleet Certified Agreement 2016</w:t>
      </w:r>
      <w:r w:rsidRPr="00FC4067">
        <w:t xml:space="preserve"> – covering QFleet staff</w:t>
      </w:r>
    </w:p>
    <w:p w14:paraId="24C95D5B" w14:textId="77777777" w:rsidR="00EC04FF" w:rsidRPr="00FC4067" w:rsidRDefault="00EC04FF" w:rsidP="00E05961">
      <w:pPr>
        <w:pStyle w:val="Bullets"/>
      </w:pPr>
      <w:r w:rsidRPr="00096C6C">
        <w:t>State Government Entities’ Certified Agreement 2015 (Core Agreement)</w:t>
      </w:r>
      <w:r w:rsidRPr="00FC4067">
        <w:t xml:space="preserve"> – covering the remainder of the department’s employees.</w:t>
      </w:r>
    </w:p>
    <w:p w14:paraId="5C0F3F9A" w14:textId="77777777" w:rsidR="00EC04FF" w:rsidRPr="00FC4067" w:rsidRDefault="00EC04FF">
      <w:pPr>
        <w:pStyle w:val="Bullets"/>
        <w:numPr>
          <w:ilvl w:val="0"/>
          <w:numId w:val="0"/>
        </w:numPr>
      </w:pPr>
      <w:r w:rsidRPr="00FC4067">
        <w:t xml:space="preserve">During 2016–17, the department negotiated a replacement certified agreement covering Building and Asset Services office staff. The department also commenced negotiations to replace the certified agreement covering Building and Asset Services field staff. </w:t>
      </w:r>
    </w:p>
    <w:p w14:paraId="699B5B48" w14:textId="77777777" w:rsidR="00EC04FF" w:rsidRPr="00FC4067" w:rsidRDefault="00EC04FF" w:rsidP="00CF0A4C"/>
    <w:p w14:paraId="009621FE" w14:textId="3A00B583" w:rsidR="0081617D" w:rsidRPr="00BB52E1" w:rsidRDefault="00EC04FF" w:rsidP="00CF0A4C">
      <w:pPr>
        <w:rPr>
          <w:color w:val="000000" w:themeColor="text1"/>
        </w:rPr>
      </w:pPr>
      <w:r w:rsidRPr="00FC4067">
        <w:t xml:space="preserve">During </w:t>
      </w:r>
      <w:r w:rsidR="000C39C3" w:rsidRPr="00FC4067">
        <w:t>2016–17</w:t>
      </w:r>
      <w:r w:rsidRPr="00FC4067">
        <w:t xml:space="preserve">, the department </w:t>
      </w:r>
      <w:r w:rsidRPr="00FC4067">
        <w:rPr>
          <w:strike/>
        </w:rPr>
        <w:t>has</w:t>
      </w:r>
      <w:r w:rsidRPr="00FC4067">
        <w:t xml:space="preserve"> continued to actively implement the government’s union encouragement policy, including through the provision of union information to new starters, </w:t>
      </w:r>
      <w:r w:rsidR="00684BF2" w:rsidRPr="00FC4067">
        <w:t xml:space="preserve">the </w:t>
      </w:r>
      <w:r w:rsidRPr="00FC4067">
        <w:t xml:space="preserve">inclusion of union information in induction materials, and the continued operation of consultative committees. The department also continued to actively implement the government’s employment security policy and organisational change provisions in the relevant industrial instruments, including through </w:t>
      </w:r>
      <w:r w:rsidRPr="00FC4067">
        <w:rPr>
          <w:strike/>
        </w:rPr>
        <w:t>the</w:t>
      </w:r>
      <w:r w:rsidRPr="00FC4067">
        <w:t xml:space="preserve"> early consultation with employees and unions where decisions are made to introduce organisational changes</w:t>
      </w:r>
      <w:r w:rsidRPr="00BB52E1">
        <w:rPr>
          <w:color w:val="000000" w:themeColor="text1"/>
        </w:rPr>
        <w:t>.</w:t>
      </w:r>
      <w:r w:rsidR="0081617D" w:rsidRPr="00BB52E1">
        <w:rPr>
          <w:color w:val="000000" w:themeColor="text1"/>
        </w:rPr>
        <w:t xml:space="preserve"> </w:t>
      </w:r>
    </w:p>
    <w:p w14:paraId="024BD34F" w14:textId="77777777" w:rsidR="00DC4782" w:rsidRPr="00D927B4" w:rsidRDefault="00DC4782" w:rsidP="00DC4782">
      <w:pPr>
        <w:pStyle w:val="ARHeading4"/>
      </w:pPr>
      <w:r>
        <w:lastRenderedPageBreak/>
        <w:t>White Ribbon initiative—breaking the silence surrounding domestic and family violence</w:t>
      </w:r>
    </w:p>
    <w:p w14:paraId="31F62F01" w14:textId="77777777" w:rsidR="00DC4782" w:rsidRPr="007E50B9" w:rsidRDefault="00DC4782" w:rsidP="00DC4782">
      <w:r w:rsidRPr="007E50B9">
        <w:t>We’re on a journey toward White Ribbon Workplace Accreditation—a journey of cultural change and a commitment to do more for our employees affected by domestic and family violence. It is a process that started almost a year ago, when HPW joined 12 other Queensland Government agencies to participate in the White Ribbon Australia Workplace Accreditation Program.</w:t>
      </w:r>
    </w:p>
    <w:p w14:paraId="4C760F25" w14:textId="77777777" w:rsidR="00DC4782" w:rsidRPr="007E50B9" w:rsidRDefault="00DC4782" w:rsidP="00DC4782">
      <w:r w:rsidRPr="007E50B9">
        <w:t>White Ribbon is the world’s largest movement of men and boys working to end men’s violence against women and girls, promote gender equity, healthy relationships, and a new vision of masculinity.</w:t>
      </w:r>
    </w:p>
    <w:p w14:paraId="682FD791" w14:textId="77777777" w:rsidR="00DC4782" w:rsidRPr="007E50B9" w:rsidRDefault="00DC4782" w:rsidP="00DC4782">
      <w:r w:rsidRPr="007E50B9">
        <w:t xml:space="preserve">The program accredits workplaces that promote respectful, safe and inclusive cultures by taking active steps to prevent and respond to violence. </w:t>
      </w:r>
    </w:p>
    <w:p w14:paraId="0E6DC506" w14:textId="77777777" w:rsidR="00DC4782" w:rsidRPr="007E50B9" w:rsidRDefault="00DC4782" w:rsidP="00DC4782">
      <w:r w:rsidRPr="007E50B9">
        <w:t>Our journey started with the launch of the White Ribbon canvas tour, which has seen two specially designed canvases make their way to HPW offices across Queensland.</w:t>
      </w:r>
    </w:p>
    <w:p w14:paraId="242C2783" w14:textId="77777777" w:rsidR="00DC4782" w:rsidRPr="007E50B9" w:rsidRDefault="00DC4782" w:rsidP="00DC4782">
      <w:r w:rsidRPr="007E50B9">
        <w:t>Staff from as far north as Thursday Island, west to Emerald and south to Brisbane, have shown their support by signing the canvases and taking a pledge to stand up, speak out and act to prevent violence against women.</w:t>
      </w:r>
    </w:p>
    <w:p w14:paraId="4CF48622" w14:textId="77777777" w:rsidR="00DC4782" w:rsidRPr="007E50B9" w:rsidRDefault="00DC4782" w:rsidP="00DC4782">
      <w:r w:rsidRPr="007E50B9">
        <w:t>Our Human Resources team ha</w:t>
      </w:r>
      <w:r>
        <w:t>s</w:t>
      </w:r>
      <w:r w:rsidRPr="007E50B9">
        <w:t xml:space="preserve"> worked tirelessly to introduce a domestic and family violence policy, provide face-to-face training to over 1</w:t>
      </w:r>
      <w:r>
        <w:t>,</w:t>
      </w:r>
      <w:r w:rsidRPr="007E50B9">
        <w:t xml:space="preserve">000 staff, and promote specialised support services. </w:t>
      </w:r>
    </w:p>
    <w:p w14:paraId="5BCAB35F" w14:textId="77777777" w:rsidR="00DC4782" w:rsidRPr="007E50B9" w:rsidRDefault="00DC4782" w:rsidP="00DC4782">
      <w:r w:rsidRPr="007E50B9">
        <w:t>The workplace accreditation process will culminate in an event to mark White Ribbon Day in November 2017.</w:t>
      </w:r>
    </w:p>
    <w:p w14:paraId="1AA2C566" w14:textId="235FCF7A" w:rsidR="0081617D" w:rsidRPr="00BB52E1" w:rsidRDefault="0081617D" w:rsidP="00792F33">
      <w:pPr>
        <w:pStyle w:val="Heading3"/>
      </w:pPr>
      <w:r w:rsidRPr="00BB52E1">
        <w:t>Early Retirement, Redundancy and Retrenchment</w:t>
      </w:r>
    </w:p>
    <w:p w14:paraId="14D989C9" w14:textId="2A25DF92" w:rsidR="00EC04FF" w:rsidRPr="00BB52E1" w:rsidRDefault="00EC04FF" w:rsidP="00CF0A4C">
      <w:pPr>
        <w:rPr>
          <w:color w:val="000000" w:themeColor="text1"/>
        </w:rPr>
      </w:pPr>
      <w:r w:rsidRPr="00BB52E1">
        <w:rPr>
          <w:color w:val="000000" w:themeColor="text1"/>
        </w:rPr>
        <w:t>During 201</w:t>
      </w:r>
      <w:r w:rsidR="00D123FB" w:rsidRPr="00BB52E1">
        <w:rPr>
          <w:color w:val="000000" w:themeColor="text1"/>
        </w:rPr>
        <w:t>6</w:t>
      </w:r>
      <w:r w:rsidRPr="00BB52E1">
        <w:rPr>
          <w:color w:val="000000" w:themeColor="text1"/>
        </w:rPr>
        <w:t>–1</w:t>
      </w:r>
      <w:r w:rsidR="00D123FB" w:rsidRPr="00BB52E1">
        <w:rPr>
          <w:color w:val="000000" w:themeColor="text1"/>
        </w:rPr>
        <w:t>7</w:t>
      </w:r>
      <w:r w:rsidRPr="00BB52E1">
        <w:rPr>
          <w:color w:val="000000" w:themeColor="text1"/>
        </w:rPr>
        <w:t>, one employee received a voluntary redundancy package</w:t>
      </w:r>
      <w:r w:rsidR="005605D4" w:rsidRPr="00BB52E1">
        <w:rPr>
          <w:color w:val="000000" w:themeColor="text1"/>
        </w:rPr>
        <w:t xml:space="preserve"> at a cost of $111,798.40</w:t>
      </w:r>
      <w:r w:rsidRPr="00BB52E1">
        <w:rPr>
          <w:color w:val="000000" w:themeColor="text1"/>
        </w:rPr>
        <w:t>. There were no paid early retirement or retrenchment packages.</w:t>
      </w:r>
    </w:p>
    <w:p w14:paraId="2C395459" w14:textId="3777A2FE" w:rsidR="0081617D" w:rsidRPr="00BB52E1" w:rsidRDefault="0081617D" w:rsidP="00792F33">
      <w:pPr>
        <w:pStyle w:val="Heading3"/>
      </w:pPr>
      <w:bookmarkStart w:id="65" w:name="_Hlk493087547"/>
      <w:r w:rsidRPr="00BB52E1">
        <w:t>Code of Conduct</w:t>
      </w:r>
    </w:p>
    <w:p w14:paraId="5860DBF1" w14:textId="31978DB8" w:rsidR="00EC04FF" w:rsidRPr="00BB52E1" w:rsidRDefault="00EC04FF" w:rsidP="00CF0A4C">
      <w:pPr>
        <w:rPr>
          <w:color w:val="000000" w:themeColor="text1"/>
        </w:rPr>
      </w:pPr>
      <w:r w:rsidRPr="00BB52E1">
        <w:rPr>
          <w:color w:val="000000" w:themeColor="text1"/>
        </w:rPr>
        <w:t xml:space="preserve">The Code of Conduct for the Queensland Public Service came into effect on 1 January 2011, and is approved under the </w:t>
      </w:r>
      <w:r w:rsidRPr="00BB52E1">
        <w:rPr>
          <w:i/>
          <w:iCs/>
          <w:color w:val="000000" w:themeColor="text1"/>
        </w:rPr>
        <w:t>Public Sector Ethics Act 1994</w:t>
      </w:r>
      <w:r w:rsidRPr="00BB52E1">
        <w:rPr>
          <w:color w:val="000000" w:themeColor="text1"/>
        </w:rPr>
        <w:t>.</w:t>
      </w:r>
    </w:p>
    <w:p w14:paraId="16E28C16" w14:textId="77777777" w:rsidR="00EC04FF" w:rsidRDefault="00EC04FF" w:rsidP="00CF0A4C">
      <w:r w:rsidRPr="00BB52E1">
        <w:rPr>
          <w:color w:val="000000" w:themeColor="text1"/>
        </w:rPr>
        <w:t xml:space="preserve">The code sets out the standards of behaviour and expressly applies to all departmental employees and any volunteers, students, contractors, or </w:t>
      </w:r>
      <w:r w:rsidRPr="00FC4067">
        <w:t>consultants who perform work in any capacity for the department.</w:t>
      </w:r>
    </w:p>
    <w:p w14:paraId="3FF00EF9" w14:textId="5D1AB68C" w:rsidR="00346306" w:rsidRPr="00912E38" w:rsidRDefault="00346306" w:rsidP="00CF0A4C">
      <w:r w:rsidRPr="00912E38">
        <w:t>The ethics principles and values contained in the Code of</w:t>
      </w:r>
      <w:r w:rsidR="009717CB" w:rsidRPr="00912E38">
        <w:t xml:space="preserve"> Conduct are reflected in departmental policy, procedures and plans. </w:t>
      </w:r>
    </w:p>
    <w:p w14:paraId="778C27C6" w14:textId="37BDF866" w:rsidR="009717CB" w:rsidRDefault="009717CB" w:rsidP="00CF0A4C">
      <w:r w:rsidRPr="00912E38">
        <w:t xml:space="preserve">Training and education in relation to the Code of Conduct is mandatory for all employees as part </w:t>
      </w:r>
      <w:r w:rsidR="00386EEF" w:rsidRPr="00912E38">
        <w:t>their</w:t>
      </w:r>
      <w:r w:rsidRPr="00912E38">
        <w:t xml:space="preserve"> induction and every twelve months thereafter.</w:t>
      </w:r>
      <w:r>
        <w:t xml:space="preserve"> </w:t>
      </w:r>
    </w:p>
    <w:p w14:paraId="0C24F22D" w14:textId="77777777" w:rsidR="00EC04FF" w:rsidRPr="00FC4067" w:rsidRDefault="00EC04FF" w:rsidP="00CF0A4C">
      <w:r w:rsidRPr="00FC4067">
        <w:t xml:space="preserve">During 2016–17, we: </w:t>
      </w:r>
    </w:p>
    <w:p w14:paraId="006B5516" w14:textId="0A03CF04" w:rsidR="00EC04FF" w:rsidRPr="00FC4067" w:rsidRDefault="00EC04FF" w:rsidP="00096C6C">
      <w:pPr>
        <w:pStyle w:val="Bullets"/>
      </w:pPr>
      <w:r w:rsidRPr="00FC4067">
        <w:t xml:space="preserve">continued to promote the Code of Conduct to new employees and contractors (including on-hired personnel) through the provision of Public Sector Ethics training during induction </w:t>
      </w:r>
    </w:p>
    <w:p w14:paraId="30ABCAF7" w14:textId="68EAA8BD" w:rsidR="00EC04FF" w:rsidRPr="00FC4067" w:rsidRDefault="00EC04FF" w:rsidP="00096C6C">
      <w:pPr>
        <w:pStyle w:val="Bullets"/>
      </w:pPr>
      <w:r w:rsidRPr="00FC4067">
        <w:t>continued to encourage all departmental employees to undertake online Public Sector Ethics training on an annual basis to ensure the currency of their understanding</w:t>
      </w:r>
    </w:p>
    <w:p w14:paraId="64105391" w14:textId="756E9DE2" w:rsidR="00EC04FF" w:rsidRPr="00FC4067" w:rsidRDefault="00EC04FF" w:rsidP="00096C6C">
      <w:pPr>
        <w:pStyle w:val="Bullets"/>
      </w:pPr>
      <w:r w:rsidRPr="00FC4067">
        <w:t>implemented an online Workplace Behaviour training</w:t>
      </w:r>
      <w:r w:rsidR="00F923BB" w:rsidRPr="00FC4067">
        <w:t xml:space="preserve"> program</w:t>
      </w:r>
      <w:r w:rsidRPr="00FC4067">
        <w:t>.</w:t>
      </w:r>
    </w:p>
    <w:bookmarkEnd w:id="65"/>
    <w:p w14:paraId="43157552" w14:textId="77777777" w:rsidR="0081617D" w:rsidRPr="00FC4067" w:rsidRDefault="0081617D" w:rsidP="00792F33">
      <w:pPr>
        <w:pStyle w:val="Heading3"/>
      </w:pPr>
      <w:r w:rsidRPr="00FC4067">
        <w:t>Celebrating Achievements</w:t>
      </w:r>
    </w:p>
    <w:p w14:paraId="7032DA84" w14:textId="7A88CA4D" w:rsidR="00EC04FF" w:rsidRPr="00FC4067" w:rsidRDefault="00EC04FF" w:rsidP="00CF0A4C">
      <w:r w:rsidRPr="00FC4067">
        <w:t>The achievements of staff were celebrated throughout the year, through a series of formal divisional awards ceremonies and other informal events including:</w:t>
      </w:r>
    </w:p>
    <w:p w14:paraId="69F5ED1E" w14:textId="24497656" w:rsidR="00EC04FF" w:rsidRPr="00FC4067" w:rsidRDefault="00EC04FF" w:rsidP="00096C6C">
      <w:pPr>
        <w:pStyle w:val="Bullets"/>
      </w:pPr>
      <w:r w:rsidRPr="00FC4067">
        <w:t>departmental Recognition of Excellence Awards ceremony held on 4 October 2016</w:t>
      </w:r>
    </w:p>
    <w:p w14:paraId="4DD37EB4" w14:textId="06EA8155" w:rsidR="00EC04FF" w:rsidRPr="00FC4067" w:rsidRDefault="00EC04FF" w:rsidP="00096C6C">
      <w:pPr>
        <w:pStyle w:val="Bullets"/>
      </w:pPr>
      <w:r w:rsidRPr="00FC4067">
        <w:t>Australia Day Achievement Awards ceremony held on 27 January 2017</w:t>
      </w:r>
    </w:p>
    <w:p w14:paraId="5C6853E6" w14:textId="0ADB30A3" w:rsidR="0081617D" w:rsidRPr="00FC4067" w:rsidRDefault="00EC04FF" w:rsidP="00096C6C">
      <w:pPr>
        <w:pStyle w:val="Bullets"/>
        <w:rPr>
          <w:color w:val="0033CC"/>
        </w:rPr>
      </w:pPr>
      <w:r w:rsidRPr="00FC4067">
        <w:t>National Aboriginal and Islanders Day Observance Committee (NAIDOC) Awards ceremony held on 4 July 2017.</w:t>
      </w:r>
      <w:r w:rsidRPr="00FC4067">
        <w:rPr>
          <w:rFonts w:cs="Arial"/>
        </w:rPr>
        <w:t xml:space="preserve"> </w:t>
      </w:r>
    </w:p>
    <w:p w14:paraId="29678F06" w14:textId="03B14390" w:rsidR="0081617D" w:rsidRPr="00FC4067" w:rsidRDefault="0081617D" w:rsidP="00792F33">
      <w:pPr>
        <w:pStyle w:val="Heading3"/>
      </w:pPr>
      <w:r w:rsidRPr="00FC4067">
        <w:lastRenderedPageBreak/>
        <w:t>Special Events</w:t>
      </w:r>
    </w:p>
    <w:p w14:paraId="516018B5" w14:textId="19C4F923" w:rsidR="00EC04FF" w:rsidRPr="00FC4067" w:rsidRDefault="00EC04FF" w:rsidP="00CF0A4C">
      <w:r w:rsidRPr="00FC4067">
        <w:t xml:space="preserve">During </w:t>
      </w:r>
      <w:r w:rsidR="0047611C" w:rsidRPr="00FC4067">
        <w:t>2016–17</w:t>
      </w:r>
      <w:r w:rsidRPr="00FC4067">
        <w:t xml:space="preserve">, we celebrated a number of special events and observances. </w:t>
      </w:r>
    </w:p>
    <w:p w14:paraId="6EA0B842" w14:textId="7619D9F9" w:rsidR="00EC04FF" w:rsidRPr="00FC4067" w:rsidRDefault="00EC04FF" w:rsidP="00CF0A4C">
      <w:pPr>
        <w:rPr>
          <w:rFonts w:eastAsia="Times New Roman"/>
        </w:rPr>
      </w:pPr>
      <w:r w:rsidRPr="00FC4067">
        <w:t xml:space="preserve">Staff raised funds and awareness for a number of charities supporting people who have experienced domestic and family violence, and people who are experiencing, or </w:t>
      </w:r>
      <w:r w:rsidR="00F91676" w:rsidRPr="00FC4067">
        <w:t xml:space="preserve">are </w:t>
      </w:r>
      <w:r w:rsidRPr="00FC4067">
        <w:t>at risk of homelessness.</w:t>
      </w:r>
      <w:r w:rsidR="008B1229" w:rsidRPr="00FC4067">
        <w:rPr>
          <w:rFonts w:eastAsia="Times New Roman"/>
        </w:rPr>
        <w:t xml:space="preserve"> In November 2016, we hosted an event celebrating two special causes, the department’s journey towards White Ribbon Workplace Accreditation and the One Million Stars to End Violence campaign. Two specially designed canvases are making their way to 45 of our departmental offices around the state, as part of a department-wide campaign to become White Ribbon accredited by November 2017 and raise awareness of domestic and family violence.</w:t>
      </w:r>
    </w:p>
    <w:p w14:paraId="5DDCB9CB" w14:textId="77777777" w:rsidR="00EC04FF" w:rsidRPr="00FC4067" w:rsidRDefault="00EC04FF" w:rsidP="00CF0A4C">
      <w:r w:rsidRPr="00FC4067">
        <w:t>During May 201</w:t>
      </w:r>
      <w:r w:rsidR="008B1229" w:rsidRPr="00FC4067">
        <w:t>7</w:t>
      </w:r>
      <w:r w:rsidRPr="00FC4067">
        <w:t>, staff were encouraged to participate in the CEO Challenge Darkness to Daylight Challenge Run, to raise funds and help shine a light on the issue of domestic and family violence.</w:t>
      </w:r>
    </w:p>
    <w:p w14:paraId="1EA63B3D" w14:textId="3EE9DB2B" w:rsidR="004110C8" w:rsidRPr="00FC4067" w:rsidRDefault="004110C8" w:rsidP="00CF0A4C">
      <w:r w:rsidRPr="00FC4067">
        <w:t>In June 2017, we contributed to the Vinnies’ CEO Sleepout by holding events, raising funds and collecting clothing to assist Vinnies’ Homelessness Services. The Director-General participated in this event.</w:t>
      </w:r>
    </w:p>
    <w:p w14:paraId="2FE2357D" w14:textId="47D73FF4" w:rsidR="00EC04FF" w:rsidRPr="00FC4067" w:rsidRDefault="00EC04FF" w:rsidP="00CF0A4C">
      <w:r w:rsidRPr="00FC4067">
        <w:t xml:space="preserve">Other events, sponsored by </w:t>
      </w:r>
      <w:r w:rsidR="00EB3CE2" w:rsidRPr="00FC4067">
        <w:t>divisions</w:t>
      </w:r>
      <w:r w:rsidRPr="00FC4067">
        <w:t xml:space="preserve">, included gold coin donation </w:t>
      </w:r>
      <w:r w:rsidR="00304E68" w:rsidRPr="00FC4067">
        <w:t>events</w:t>
      </w:r>
      <w:r w:rsidRPr="00FC4067">
        <w:t xml:space="preserve"> to mark International Women’s Day, Harmony Day, Reconciliation Week and Queensland Week.</w:t>
      </w:r>
    </w:p>
    <w:p w14:paraId="46B59199" w14:textId="6AB05A65" w:rsidR="00EC04FF" w:rsidRPr="00FC4067" w:rsidRDefault="00EC04FF" w:rsidP="00CF0A4C">
      <w:r w:rsidRPr="00FC4067">
        <w:t xml:space="preserve">The response to these initiatives </w:t>
      </w:r>
      <w:r w:rsidR="000D373A" w:rsidRPr="00FC4067">
        <w:t xml:space="preserve">was </w:t>
      </w:r>
      <w:r w:rsidRPr="00FC4067">
        <w:t>overwhelming, with staff from all parts of the department providing support and donations.</w:t>
      </w:r>
    </w:p>
    <w:p w14:paraId="6A583847" w14:textId="76588541" w:rsidR="007A0AB7" w:rsidRPr="00FC4067" w:rsidRDefault="005940BB" w:rsidP="00CF0A4C">
      <w:pPr>
        <w:sectPr w:rsidR="007A0AB7" w:rsidRPr="00FC4067" w:rsidSect="007A0AB7">
          <w:type w:val="continuous"/>
          <w:pgSz w:w="11910" w:h="16840"/>
          <w:pgMar w:top="1440" w:right="1440" w:bottom="1440" w:left="1440" w:header="241" w:footer="478" w:gutter="0"/>
          <w:cols w:num="2" w:space="397"/>
        </w:sectPr>
      </w:pPr>
      <w:r w:rsidRPr="00FC4067">
        <w:t>In August 2016, s</w:t>
      </w:r>
      <w:r w:rsidR="004110C8" w:rsidRPr="00FC4067">
        <w:t>taff once again volunteered their time to talk to Queenslanders about the services provided by the department</w:t>
      </w:r>
      <w:r w:rsidRPr="00FC4067">
        <w:t xml:space="preserve"> at the annual EKKA Royal Queensland Show in Brisbane.</w:t>
      </w:r>
      <w:r w:rsidR="004110C8" w:rsidRPr="00FC4067">
        <w:t xml:space="preserve"> More than 4,500 people visited the </w:t>
      </w:r>
      <w:r w:rsidRPr="00FC4067">
        <w:t xml:space="preserve">‘Welcome to our place’ backyard-themed display booth </w:t>
      </w:r>
      <w:r w:rsidR="004110C8" w:rsidRPr="00FC4067">
        <w:t xml:space="preserve">during the show to find out more about </w:t>
      </w:r>
      <w:r w:rsidR="00EB2ECE" w:rsidRPr="00FC4067">
        <w:t>our</w:t>
      </w:r>
      <w:r w:rsidR="004110C8" w:rsidRPr="00FC4067">
        <w:t xml:space="preserve"> building, procurement and housing services, as well as pool safety</w:t>
      </w:r>
      <w:r w:rsidR="00B356CF" w:rsidRPr="00FC4067">
        <w:t>.</w:t>
      </w:r>
    </w:p>
    <w:p w14:paraId="17824D92" w14:textId="1142357E" w:rsidR="0081617D" w:rsidRPr="00FC4067" w:rsidRDefault="004110C8" w:rsidP="00CF0A4C">
      <w:r w:rsidRPr="00FC4067">
        <w:rPr>
          <w:color w:val="000000" w:themeColor="text1"/>
        </w:rPr>
        <w:t>.</w:t>
      </w:r>
      <w:r w:rsidR="0081617D" w:rsidRPr="00FC4067">
        <w:br w:type="page"/>
      </w:r>
    </w:p>
    <w:p w14:paraId="7CE68B1D" w14:textId="3E671338" w:rsidR="0081617D" w:rsidRPr="00FC4067" w:rsidRDefault="0081617D" w:rsidP="005D3ADE">
      <w:pPr>
        <w:pStyle w:val="Heading1"/>
      </w:pPr>
      <w:bookmarkStart w:id="66" w:name="_Toc464823683"/>
      <w:bookmarkStart w:id="67" w:name="_Toc494984646"/>
      <w:bookmarkStart w:id="68" w:name="_Hlk490143322"/>
      <w:r w:rsidRPr="00FC4067">
        <w:lastRenderedPageBreak/>
        <w:t xml:space="preserve">Legislation Administered by the Minister for Housing and Public Works as at 30 June </w:t>
      </w:r>
      <w:bookmarkEnd w:id="66"/>
      <w:r w:rsidRPr="00FC4067">
        <w:t>201</w:t>
      </w:r>
      <w:r w:rsidR="00F0029F" w:rsidRPr="00FC4067">
        <w:t>7</w:t>
      </w:r>
      <w:bookmarkEnd w:id="67"/>
    </w:p>
    <w:bookmarkEnd w:id="68"/>
    <w:p w14:paraId="720711A1" w14:textId="77777777" w:rsidR="00A2010D" w:rsidRPr="00AF428A" w:rsidRDefault="00A2010D" w:rsidP="00792F33">
      <w:pPr>
        <w:pStyle w:val="Heading3"/>
        <w:rPr>
          <w:rStyle w:val="bold0"/>
          <w:rFonts w:ascii="Arial" w:hAnsi="Arial" w:cs="Arial"/>
          <w:i/>
          <w:color w:val="auto"/>
        </w:rPr>
      </w:pPr>
      <w:r w:rsidRPr="00FC4067">
        <w:rPr>
          <w:rStyle w:val="bold0"/>
          <w:rFonts w:ascii="Arial" w:hAnsi="Arial" w:cs="Arial"/>
          <w:i/>
          <w:iCs/>
          <w:color w:val="auto"/>
          <w:spacing w:val="-8"/>
        </w:rPr>
        <w:t>Architects Act 2002</w:t>
      </w:r>
    </w:p>
    <w:p w14:paraId="143C3F62" w14:textId="77777777" w:rsidR="00A2010D" w:rsidRPr="00FC4067" w:rsidRDefault="00A2010D" w:rsidP="00CF0A4C">
      <w:pPr>
        <w:rPr>
          <w:rFonts w:cs="Arial"/>
        </w:rPr>
      </w:pPr>
      <w:r w:rsidRPr="00FC4067">
        <w:rPr>
          <w:rFonts w:cs="Arial"/>
        </w:rPr>
        <w:t>This Act regulates the registration of architects and the practice of architecture in Queensland. The main objectives of the Act are to protect the public by ensuring architectural services are provided professionally and competently, to maintain public confidence in the standard of services provided by architects, and to uphold the standards of practice of architects.</w:t>
      </w:r>
    </w:p>
    <w:p w14:paraId="7E02E129" w14:textId="77777777" w:rsidR="0081617D" w:rsidRPr="00AF428A" w:rsidRDefault="0081617D" w:rsidP="00792F33">
      <w:pPr>
        <w:pStyle w:val="Heading3"/>
        <w:rPr>
          <w:rStyle w:val="bold0"/>
          <w:rFonts w:ascii="Arial" w:hAnsi="Arial" w:cs="Arial"/>
          <w:i/>
          <w:color w:val="auto"/>
        </w:rPr>
      </w:pPr>
      <w:r w:rsidRPr="00FC4067">
        <w:rPr>
          <w:rStyle w:val="bold0"/>
          <w:rFonts w:ascii="Arial" w:hAnsi="Arial" w:cs="Arial"/>
          <w:i/>
          <w:iCs/>
          <w:color w:val="auto"/>
        </w:rPr>
        <w:t>Building Act 1975</w:t>
      </w:r>
    </w:p>
    <w:p w14:paraId="4F84D86E" w14:textId="77777777" w:rsidR="0081617D" w:rsidRPr="00FC4067" w:rsidRDefault="0081617D" w:rsidP="00CF0A4C">
      <w:pPr>
        <w:rPr>
          <w:rFonts w:cs="Arial"/>
        </w:rPr>
      </w:pPr>
      <w:r w:rsidRPr="00FC4067">
        <w:rPr>
          <w:rFonts w:cs="Arial"/>
        </w:rPr>
        <w:t>This Act regulates building development approvals, building work, building classification, building certifiers and pool safety inspectors, and provides for particular matters about swimming pool safety, and sustainable buildings.</w:t>
      </w:r>
    </w:p>
    <w:p w14:paraId="4B6235EE" w14:textId="77777777" w:rsidR="00156236" w:rsidRPr="00AF428A" w:rsidRDefault="00156236" w:rsidP="00792F33">
      <w:pPr>
        <w:pStyle w:val="Heading3"/>
        <w:rPr>
          <w:rStyle w:val="bold0"/>
          <w:rFonts w:ascii="Arial" w:hAnsi="Arial" w:cs="Arial"/>
          <w:i/>
          <w:color w:val="auto"/>
        </w:rPr>
      </w:pPr>
      <w:r w:rsidRPr="00FC4067">
        <w:rPr>
          <w:rStyle w:val="bold0"/>
          <w:rFonts w:ascii="Arial" w:hAnsi="Arial" w:cs="Arial"/>
          <w:i/>
          <w:iCs/>
          <w:color w:val="auto"/>
        </w:rPr>
        <w:t>Building and Construction Industry Payments Act 2004</w:t>
      </w:r>
    </w:p>
    <w:p w14:paraId="0E2389EC" w14:textId="7E34A7B2" w:rsidR="00711C84" w:rsidRPr="00FC4067" w:rsidRDefault="00711C84" w:rsidP="00CF0A4C">
      <w:pPr>
        <w:rPr>
          <w:rFonts w:cs="Arial"/>
        </w:rPr>
      </w:pPr>
      <w:r w:rsidRPr="00FC4067">
        <w:t>This Act establishes a statutory-based system of adjudication to enable the prompt resolution of construction-related payment disputes on an interim basis. Under the Act, adjudication is available to persons who enter into a written or oral contract to carry out construction work, or supply related goods and services.</w:t>
      </w:r>
    </w:p>
    <w:p w14:paraId="366FDB96" w14:textId="77777777" w:rsidR="0081617D" w:rsidRPr="00AF428A" w:rsidRDefault="0081617D" w:rsidP="00792F33">
      <w:pPr>
        <w:pStyle w:val="Heading3"/>
        <w:rPr>
          <w:rStyle w:val="bold0"/>
          <w:rFonts w:ascii="Arial" w:eastAsiaTheme="minorEastAsia" w:hAnsi="Arial" w:cs="Arial"/>
          <w:i/>
          <w:color w:val="auto"/>
          <w:sz w:val="22"/>
          <w:szCs w:val="22"/>
        </w:rPr>
      </w:pPr>
      <w:r w:rsidRPr="00FC4067">
        <w:rPr>
          <w:rStyle w:val="bold0"/>
          <w:rFonts w:ascii="Arial" w:hAnsi="Arial" w:cs="Arial"/>
          <w:i/>
          <w:iCs/>
          <w:color w:val="auto"/>
        </w:rPr>
        <w:t>Housing Act 2003</w:t>
      </w:r>
    </w:p>
    <w:p w14:paraId="7C47EB58" w14:textId="77777777" w:rsidR="0081617D" w:rsidRPr="00FC4067" w:rsidRDefault="0081617D" w:rsidP="00CF0A4C">
      <w:pPr>
        <w:rPr>
          <w:rFonts w:cs="Arial"/>
        </w:rPr>
      </w:pPr>
      <w:r w:rsidRPr="00FC4067">
        <w:rPr>
          <w:rFonts w:cs="Arial"/>
        </w:rPr>
        <w:t>This Act seeks to improve access of Queenslanders to safe, secure, appropriate and affordable housing, and help build sustainable communities.</w:t>
      </w:r>
    </w:p>
    <w:p w14:paraId="6E1C97B6" w14:textId="77777777" w:rsidR="0081617D" w:rsidRPr="00AF428A" w:rsidRDefault="0081617D" w:rsidP="00792F33">
      <w:pPr>
        <w:pStyle w:val="Heading3"/>
        <w:rPr>
          <w:rStyle w:val="bold0"/>
          <w:rFonts w:ascii="Arial" w:hAnsi="Arial" w:cs="Arial"/>
          <w:i/>
          <w:color w:val="auto"/>
        </w:rPr>
      </w:pPr>
      <w:r w:rsidRPr="00FC4067">
        <w:rPr>
          <w:rStyle w:val="bold0"/>
          <w:rFonts w:ascii="Arial" w:hAnsi="Arial" w:cs="Arial"/>
          <w:i/>
          <w:iCs/>
          <w:color w:val="auto"/>
        </w:rPr>
        <w:t>Housing (Freeholding of Land) Act 1957</w:t>
      </w:r>
    </w:p>
    <w:p w14:paraId="59F50DFD" w14:textId="77777777" w:rsidR="0081617D" w:rsidRPr="00FC4067" w:rsidRDefault="0081617D" w:rsidP="00CF0A4C">
      <w:pPr>
        <w:rPr>
          <w:rFonts w:cs="Arial"/>
        </w:rPr>
      </w:pPr>
      <w:r w:rsidRPr="00FC4067">
        <w:rPr>
          <w:rFonts w:cs="Arial"/>
        </w:rPr>
        <w:t xml:space="preserve">This Act provides for the freeholding of certain land to which the </w:t>
      </w:r>
      <w:r w:rsidRPr="00FC4067">
        <w:rPr>
          <w:rFonts w:cs="Arial"/>
          <w:i/>
          <w:iCs/>
        </w:rPr>
        <w:t>Housing Act 2003</w:t>
      </w:r>
      <w:r w:rsidRPr="00FC4067">
        <w:rPr>
          <w:rFonts w:cs="Arial"/>
        </w:rPr>
        <w:t xml:space="preserve"> applies.</w:t>
      </w:r>
    </w:p>
    <w:p w14:paraId="292679E7" w14:textId="77777777" w:rsidR="0081617D" w:rsidRPr="00AF428A" w:rsidRDefault="0081617D" w:rsidP="00792F33">
      <w:pPr>
        <w:pStyle w:val="Heading3"/>
        <w:rPr>
          <w:rStyle w:val="bold0"/>
          <w:rFonts w:ascii="Arial" w:hAnsi="Arial" w:cs="Arial"/>
          <w:i/>
          <w:color w:val="auto"/>
        </w:rPr>
      </w:pPr>
      <w:r w:rsidRPr="00FC4067">
        <w:rPr>
          <w:rStyle w:val="bold0"/>
          <w:rFonts w:ascii="Arial" w:hAnsi="Arial" w:cs="Arial"/>
          <w:i/>
          <w:iCs/>
          <w:color w:val="auto"/>
        </w:rPr>
        <w:t>Inala Shopping Centre Freeholding Act 2006</w:t>
      </w:r>
    </w:p>
    <w:p w14:paraId="441F6856" w14:textId="77777777" w:rsidR="0081617D" w:rsidRPr="00FC4067" w:rsidRDefault="0081617D" w:rsidP="00CF0A4C">
      <w:pPr>
        <w:rPr>
          <w:rFonts w:cs="Arial"/>
        </w:rPr>
      </w:pPr>
      <w:r w:rsidRPr="00FC4067">
        <w:rPr>
          <w:rFonts w:cs="Arial"/>
        </w:rPr>
        <w:t xml:space="preserve">The objective of this Act is to provide for the freeholding and divestment of perpetual leases under the </w:t>
      </w:r>
      <w:r w:rsidRPr="00FC4067">
        <w:rPr>
          <w:rFonts w:cs="Arial"/>
          <w:i/>
          <w:iCs/>
        </w:rPr>
        <w:t>Housing Act 2003</w:t>
      </w:r>
      <w:r w:rsidRPr="00FC4067">
        <w:rPr>
          <w:rFonts w:cs="Arial"/>
        </w:rPr>
        <w:t xml:space="preserve"> in the Inala Shopping Centre.</w:t>
      </w:r>
    </w:p>
    <w:p w14:paraId="03F287C8" w14:textId="77777777" w:rsidR="0081617D" w:rsidRPr="00AF428A" w:rsidRDefault="0081617D" w:rsidP="00792F33">
      <w:pPr>
        <w:pStyle w:val="Heading3"/>
        <w:rPr>
          <w:rStyle w:val="bold0"/>
          <w:rFonts w:ascii="Arial" w:hAnsi="Arial" w:cs="Arial"/>
          <w:i/>
          <w:color w:val="auto"/>
        </w:rPr>
      </w:pPr>
      <w:r w:rsidRPr="00FC4067">
        <w:rPr>
          <w:rStyle w:val="bold0"/>
          <w:rFonts w:ascii="Arial" w:hAnsi="Arial" w:cs="Arial"/>
          <w:i/>
          <w:iCs/>
          <w:color w:val="auto"/>
        </w:rPr>
        <w:t>Manufactured Homes (Residential Parks) Act 2003</w:t>
      </w:r>
    </w:p>
    <w:p w14:paraId="0A4FC3A6" w14:textId="77777777" w:rsidR="0081617D" w:rsidRPr="00FC4067" w:rsidRDefault="0081617D" w:rsidP="00CF0A4C">
      <w:pPr>
        <w:rPr>
          <w:rFonts w:cs="Arial"/>
        </w:rPr>
      </w:pPr>
      <w:r w:rsidRPr="00FC4067">
        <w:rPr>
          <w:rFonts w:cs="Arial"/>
        </w:rPr>
        <w:t>The main objective of this Act is to regulate and promote fair trading practices in the operation of residential parks, to protect home owners from unfair business practices, and to enable home owners and prospective home owners to make informed choices by being fully aware of their rights and responsibilities in their relationship with park owners. Another important objective of this Act is to encourage the continued growth and viability of the residential park industry in Queensland.</w:t>
      </w:r>
    </w:p>
    <w:p w14:paraId="31116F6D" w14:textId="77777777" w:rsidR="0081617D" w:rsidRPr="00346306" w:rsidRDefault="0081617D" w:rsidP="00792F33">
      <w:pPr>
        <w:pStyle w:val="Heading3"/>
        <w:rPr>
          <w:rStyle w:val="bold0"/>
          <w:rFonts w:ascii="Arial" w:hAnsi="Arial" w:cs="Arial"/>
          <w:i/>
          <w:color w:val="auto"/>
        </w:rPr>
      </w:pPr>
      <w:r w:rsidRPr="00FC4067">
        <w:rPr>
          <w:rStyle w:val="bold0"/>
          <w:rFonts w:ascii="Arial" w:hAnsi="Arial" w:cs="Arial"/>
          <w:i/>
          <w:iCs/>
          <w:color w:val="auto"/>
        </w:rPr>
        <w:lastRenderedPageBreak/>
        <w:t>Plumbing and Drainage Act 2002</w:t>
      </w:r>
    </w:p>
    <w:p w14:paraId="04EC8450" w14:textId="77777777" w:rsidR="0081617D" w:rsidRPr="00FC4067" w:rsidRDefault="0081617D" w:rsidP="00CF0A4C">
      <w:pPr>
        <w:rPr>
          <w:rFonts w:cs="Arial"/>
        </w:rPr>
      </w:pPr>
      <w:r w:rsidRPr="00FC4067">
        <w:rPr>
          <w:rFonts w:cs="Arial"/>
        </w:rPr>
        <w:t>This Act provides the legislative framework for plumbing and drainage standards in Queensland, and includes the licensing of plumbers and drainers and on-site sewerage facilities.</w:t>
      </w:r>
    </w:p>
    <w:p w14:paraId="64DE67BD" w14:textId="77777777" w:rsidR="00156236" w:rsidRPr="00346306" w:rsidRDefault="00156236" w:rsidP="00792F33">
      <w:pPr>
        <w:pStyle w:val="Heading3"/>
        <w:rPr>
          <w:rStyle w:val="bold0"/>
          <w:rFonts w:ascii="Arial" w:hAnsi="Arial" w:cs="Arial"/>
          <w:i/>
          <w:color w:val="auto"/>
        </w:rPr>
      </w:pPr>
      <w:r w:rsidRPr="00FC4067">
        <w:rPr>
          <w:rStyle w:val="bold0"/>
          <w:rFonts w:ascii="Arial" w:hAnsi="Arial" w:cs="Arial"/>
          <w:i/>
          <w:iCs/>
          <w:color w:val="auto"/>
          <w:spacing w:val="-8"/>
        </w:rPr>
        <w:t>Professional Engineers Act 2002</w:t>
      </w:r>
    </w:p>
    <w:p w14:paraId="433EA942" w14:textId="77777777" w:rsidR="00156236" w:rsidRPr="00FC4067" w:rsidRDefault="00156236" w:rsidP="00CF0A4C">
      <w:pPr>
        <w:rPr>
          <w:rFonts w:cs="Arial"/>
        </w:rPr>
      </w:pPr>
      <w:r w:rsidRPr="00FC4067">
        <w:rPr>
          <w:rFonts w:cs="Arial"/>
        </w:rPr>
        <w:t>This Act regulates the registration of professional engineers, and protects the public by ensuring professional engineering services are provided by a registered professional engineer in a professional and competent way, public confidence in the standard of services provided by registered professional engineers is maintained, and the standards of practice of registered professional engineers are upheld.</w:t>
      </w:r>
    </w:p>
    <w:p w14:paraId="1D446F21" w14:textId="77777777" w:rsidR="006A714E" w:rsidRPr="00346306" w:rsidRDefault="006A714E" w:rsidP="00792F33">
      <w:pPr>
        <w:pStyle w:val="Heading3"/>
        <w:rPr>
          <w:rStyle w:val="bold0"/>
          <w:rFonts w:ascii="Arial" w:hAnsi="Arial" w:cs="Arial"/>
          <w:i/>
          <w:color w:val="auto"/>
        </w:rPr>
      </w:pPr>
      <w:r w:rsidRPr="00FC4067">
        <w:rPr>
          <w:rStyle w:val="bold0"/>
          <w:rFonts w:ascii="Arial" w:hAnsi="Arial" w:cs="Arial"/>
          <w:i/>
          <w:iCs/>
          <w:color w:val="auto"/>
        </w:rPr>
        <w:t>Queensland Building and Construction Commission Act 1991</w:t>
      </w:r>
    </w:p>
    <w:p w14:paraId="0843F48B" w14:textId="77777777" w:rsidR="00894D6F" w:rsidRPr="00FC4067" w:rsidRDefault="00894D6F" w:rsidP="00CF0A4C">
      <w:pPr>
        <w:rPr>
          <w:rFonts w:cs="Arial"/>
        </w:rPr>
      </w:pPr>
      <w:r w:rsidRPr="00FC4067">
        <w:rPr>
          <w:rFonts w:cs="Arial"/>
        </w:rPr>
        <w:t xml:space="preserve">This Act regulates the building industry and establishes a licensing and regulatory system for the conduct of building work in Queensland. The Act also establishes the Queensland Home Warranty Insurance Scheme, which provides assistance to consumers in the event that they suffer financial harm as a result of a building contractor carrying out defective or incomplete residential construction work. </w:t>
      </w:r>
    </w:p>
    <w:p w14:paraId="009CB121" w14:textId="77777777" w:rsidR="0081617D" w:rsidRPr="00346306" w:rsidRDefault="0081617D" w:rsidP="00792F33">
      <w:pPr>
        <w:pStyle w:val="Heading3"/>
        <w:rPr>
          <w:rStyle w:val="bold0"/>
          <w:rFonts w:ascii="Arial" w:hAnsi="Arial" w:cs="Arial"/>
          <w:i/>
          <w:color w:val="auto"/>
        </w:rPr>
      </w:pPr>
      <w:r w:rsidRPr="00FC4067">
        <w:rPr>
          <w:rStyle w:val="bold0"/>
          <w:rFonts w:ascii="Arial" w:hAnsi="Arial" w:cs="Arial"/>
          <w:i/>
          <w:iCs/>
          <w:color w:val="auto"/>
          <w:spacing w:val="-8"/>
        </w:rPr>
        <w:t>Residential Services (Accreditation) Act 2002</w:t>
      </w:r>
    </w:p>
    <w:p w14:paraId="1643FE15" w14:textId="77777777" w:rsidR="0081617D" w:rsidRPr="00FC4067" w:rsidRDefault="0081617D" w:rsidP="00CF0A4C">
      <w:pPr>
        <w:rPr>
          <w:rFonts w:cs="Arial"/>
        </w:rPr>
      </w:pPr>
      <w:r w:rsidRPr="00FC4067">
        <w:rPr>
          <w:rFonts w:cs="Arial"/>
        </w:rPr>
        <w:t>This Act regulates the conduct of residential services to protect the health, safety and basic freedoms of residents, encourages service providers to continually improve the way they conduct residential services, and supports fair trading in the residential services industry.</w:t>
      </w:r>
    </w:p>
    <w:p w14:paraId="6E7BC4E8" w14:textId="77777777" w:rsidR="006A714E" w:rsidRPr="00346306" w:rsidRDefault="006A714E" w:rsidP="00792F33">
      <w:pPr>
        <w:pStyle w:val="Heading3"/>
        <w:rPr>
          <w:rStyle w:val="bold0"/>
          <w:rFonts w:ascii="Arial" w:hAnsi="Arial" w:cs="Arial"/>
          <w:i/>
          <w:color w:val="auto"/>
        </w:rPr>
      </w:pPr>
      <w:r w:rsidRPr="00FC4067">
        <w:rPr>
          <w:rStyle w:val="bold0"/>
          <w:rFonts w:ascii="Arial" w:hAnsi="Arial" w:cs="Arial"/>
          <w:i/>
          <w:iCs/>
          <w:color w:val="auto"/>
        </w:rPr>
        <w:t>Residential Tenancies and Rooming Accommodation Act 2008</w:t>
      </w:r>
    </w:p>
    <w:p w14:paraId="1D3DE00F" w14:textId="77777777" w:rsidR="006A714E" w:rsidRPr="00FC4067" w:rsidRDefault="006A714E" w:rsidP="00CF0A4C">
      <w:pPr>
        <w:rPr>
          <w:rFonts w:cs="Arial"/>
        </w:rPr>
      </w:pPr>
      <w:r w:rsidRPr="00FC4067">
        <w:rPr>
          <w:rFonts w:cs="Arial"/>
        </w:rPr>
        <w:t xml:space="preserve">This Act regulates, through the Residential Tenancies Authority, the rights and obligations of tenants, lessors and agents for residential tenancies and residents, providers and agents for rooming accommodation. </w:t>
      </w:r>
    </w:p>
    <w:p w14:paraId="49771CDC" w14:textId="77777777" w:rsidR="0081617D" w:rsidRPr="00346306" w:rsidRDefault="0081617D" w:rsidP="00792F33">
      <w:pPr>
        <w:pStyle w:val="Heading3"/>
        <w:rPr>
          <w:rStyle w:val="bold0"/>
          <w:rFonts w:ascii="Arial" w:hAnsi="Arial" w:cs="Arial"/>
          <w:i/>
          <w:color w:val="auto"/>
        </w:rPr>
      </w:pPr>
      <w:r w:rsidRPr="00FC4067">
        <w:rPr>
          <w:rStyle w:val="bold0"/>
          <w:rFonts w:ascii="Arial" w:hAnsi="Arial" w:cs="Arial"/>
          <w:i/>
          <w:iCs/>
          <w:color w:val="auto"/>
        </w:rPr>
        <w:t>Retirement Villages Act 1999</w:t>
      </w:r>
    </w:p>
    <w:p w14:paraId="799AEFDC" w14:textId="61717E10" w:rsidR="0081617D" w:rsidRPr="00FC4067" w:rsidRDefault="0081617D" w:rsidP="00CF0A4C">
      <w:pPr>
        <w:rPr>
          <w:rFonts w:cs="Arial"/>
        </w:rPr>
      </w:pPr>
      <w:r w:rsidRPr="00FC4067">
        <w:rPr>
          <w:rFonts w:cs="Arial"/>
        </w:rPr>
        <w:t xml:space="preserve">This Act provides for the establishment and operation of retirement villages. The main objectives of the Act are to promote consumer protection and </w:t>
      </w:r>
      <w:r w:rsidR="00061F0F" w:rsidRPr="00FC4067">
        <w:rPr>
          <w:rFonts w:cs="Arial"/>
        </w:rPr>
        <w:t>fair-trading</w:t>
      </w:r>
      <w:r w:rsidRPr="00FC4067">
        <w:rPr>
          <w:rFonts w:cs="Arial"/>
        </w:rPr>
        <w:t xml:space="preserve"> practices in operating retirement villages and in supplying services to residents, and to encourage the continued growth and viability of the retirement village industry in the state.</w:t>
      </w:r>
    </w:p>
    <w:p w14:paraId="33FFAE43" w14:textId="77777777" w:rsidR="006A714E" w:rsidRPr="00346306" w:rsidRDefault="006A714E" w:rsidP="00792F33">
      <w:pPr>
        <w:pStyle w:val="Heading3"/>
        <w:rPr>
          <w:rStyle w:val="bold0"/>
          <w:rFonts w:ascii="Arial" w:hAnsi="Arial" w:cs="Arial"/>
          <w:i/>
          <w:color w:val="auto"/>
        </w:rPr>
      </w:pPr>
      <w:r w:rsidRPr="00FC4067">
        <w:rPr>
          <w:rStyle w:val="bold0"/>
          <w:rFonts w:ascii="Arial" w:hAnsi="Arial" w:cs="Arial"/>
          <w:i/>
          <w:iCs/>
          <w:color w:val="auto"/>
        </w:rPr>
        <w:t>Subcontractors’ Charges Act 1974</w:t>
      </w:r>
    </w:p>
    <w:p w14:paraId="64CDB88F" w14:textId="03CB3415" w:rsidR="00711C84" w:rsidRPr="00FC4067" w:rsidRDefault="00711C84" w:rsidP="00711C84">
      <w:pPr>
        <w:rPr>
          <w:lang w:val="en-US" w:eastAsia="en-AU"/>
        </w:rPr>
      </w:pPr>
      <w:r w:rsidRPr="00FC4067">
        <w:t xml:space="preserve">This Act establishes a statutory mechanism by which a subcontractor in prescribed circumstances can secure payment of monies owed under their contract with a principal builder. </w:t>
      </w:r>
    </w:p>
    <w:p w14:paraId="7A92168B" w14:textId="77777777" w:rsidR="00AD5CEF" w:rsidRPr="00346306" w:rsidRDefault="0081617D" w:rsidP="00792F33">
      <w:pPr>
        <w:pStyle w:val="Heading3"/>
        <w:rPr>
          <w:rStyle w:val="bold0"/>
          <w:rFonts w:ascii="Arial" w:hAnsi="Arial" w:cs="Arial"/>
          <w:i/>
          <w:color w:val="auto"/>
        </w:rPr>
      </w:pPr>
      <w:r w:rsidRPr="00FC4067">
        <w:rPr>
          <w:rStyle w:val="bold0"/>
          <w:rFonts w:ascii="Arial" w:hAnsi="Arial" w:cs="Arial"/>
          <w:i/>
          <w:iCs/>
          <w:color w:val="auto"/>
        </w:rPr>
        <w:t xml:space="preserve">Sustainable Planning Act 2009 </w:t>
      </w:r>
    </w:p>
    <w:p w14:paraId="47F0BB77" w14:textId="5177C9A2" w:rsidR="0081617D" w:rsidRPr="00FC4067" w:rsidRDefault="0081617D" w:rsidP="00CF0A4C">
      <w:pPr>
        <w:rPr>
          <w:rFonts w:cs="Arial"/>
        </w:rPr>
      </w:pPr>
      <w:r w:rsidRPr="00FC4067">
        <w:rPr>
          <w:rFonts w:cs="Arial"/>
        </w:rPr>
        <w:t>(Chapter 7, Part 2)</w:t>
      </w:r>
    </w:p>
    <w:p w14:paraId="79549779" w14:textId="51092DB6" w:rsidR="0081617D" w:rsidRPr="00FC4067" w:rsidRDefault="0081617D" w:rsidP="00CF0A4C">
      <w:pPr>
        <w:rPr>
          <w:rFonts w:cs="Arial"/>
        </w:rPr>
      </w:pPr>
      <w:r w:rsidRPr="00FC4067">
        <w:rPr>
          <w:rFonts w:cs="Arial"/>
        </w:rPr>
        <w:t>This Part of the Act provides for the establishment and operation of the building and development dispute resolution committees.</w:t>
      </w:r>
      <w:r w:rsidR="006A714E" w:rsidRPr="00FC4067">
        <w:rPr>
          <w:rFonts w:cs="Arial"/>
        </w:rPr>
        <w:t xml:space="preserve"> The </w:t>
      </w:r>
      <w:r w:rsidR="006A714E" w:rsidRPr="00FC4067">
        <w:rPr>
          <w:rFonts w:cs="Arial"/>
          <w:i/>
          <w:iCs/>
        </w:rPr>
        <w:t>Sustainable Planning Act 2009</w:t>
      </w:r>
      <w:r w:rsidR="006A714E" w:rsidRPr="00FC4067">
        <w:rPr>
          <w:rFonts w:cs="Arial"/>
        </w:rPr>
        <w:t xml:space="preserve"> was replaced by the </w:t>
      </w:r>
      <w:r w:rsidR="006A714E" w:rsidRPr="00FC4067">
        <w:rPr>
          <w:rFonts w:cs="Arial"/>
          <w:i/>
          <w:iCs/>
        </w:rPr>
        <w:t>Planning Act 2016</w:t>
      </w:r>
      <w:r w:rsidR="006A714E" w:rsidRPr="00FC4067">
        <w:rPr>
          <w:rFonts w:cs="Arial"/>
        </w:rPr>
        <w:t xml:space="preserve"> from 3 July 2017.</w:t>
      </w:r>
    </w:p>
    <w:p w14:paraId="360D8BD8" w14:textId="77777777" w:rsidR="0081617D" w:rsidRPr="00FC4067" w:rsidRDefault="0081617D" w:rsidP="00CF0A4C">
      <w:pPr>
        <w:rPr>
          <w:rFonts w:cs="Arial"/>
        </w:rPr>
      </w:pPr>
      <w:r w:rsidRPr="00FC4067">
        <w:rPr>
          <w:rFonts w:cs="Arial"/>
        </w:rPr>
        <w:t>All Queensland Government legislation is available at www.legislation.qld.gov.au.</w:t>
      </w:r>
    </w:p>
    <w:p w14:paraId="51FB12B4" w14:textId="77777777" w:rsidR="0081617D" w:rsidRPr="00FC4067" w:rsidRDefault="0081617D" w:rsidP="005D3ADE">
      <w:pPr>
        <w:pStyle w:val="Heading1"/>
      </w:pPr>
      <w:bookmarkStart w:id="69" w:name="_Toc464823684"/>
      <w:bookmarkStart w:id="70" w:name="_Toc494984647"/>
      <w:r w:rsidRPr="00FC4067">
        <w:lastRenderedPageBreak/>
        <w:t>Government Bodies</w:t>
      </w:r>
      <w:bookmarkEnd w:id="69"/>
      <w:bookmarkEnd w:id="70"/>
    </w:p>
    <w:p w14:paraId="280968EC" w14:textId="0A21914C" w:rsidR="0081617D" w:rsidRPr="002F0A6A" w:rsidRDefault="0081617D" w:rsidP="002F0A6A">
      <w:pPr>
        <w:pStyle w:val="Heading3"/>
      </w:pPr>
      <w:bookmarkStart w:id="71" w:name="_Toc464823685"/>
      <w:r w:rsidRPr="002F0A6A">
        <w:t>Statutory Bodies</w:t>
      </w:r>
      <w:bookmarkEnd w:id="71"/>
    </w:p>
    <w:p w14:paraId="0C0ADDEF" w14:textId="77777777" w:rsidR="0081617D" w:rsidRPr="00FC4067" w:rsidRDefault="0081617D" w:rsidP="00CF0A4C">
      <w:r w:rsidRPr="00FC4067">
        <w:t>The following statutory bodies prepare separate annual reports that are provided to the Minister for Housing and Public Works.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3401"/>
        <w:gridCol w:w="3402"/>
      </w:tblGrid>
      <w:tr w:rsidR="0081617D" w:rsidRPr="00FC4067" w14:paraId="45E95E08" w14:textId="77777777" w:rsidTr="254438D3">
        <w:trPr>
          <w:trHeight w:val="813"/>
        </w:trPr>
        <w:tc>
          <w:tcPr>
            <w:tcW w:w="3402" w:type="dxa"/>
            <w:shd w:val="clear" w:color="auto" w:fill="BFBFBF" w:themeFill="background1" w:themeFillShade="BF"/>
            <w:tcMar>
              <w:top w:w="80" w:type="dxa"/>
              <w:left w:w="80" w:type="dxa"/>
              <w:bottom w:w="80" w:type="dxa"/>
              <w:right w:w="80" w:type="dxa"/>
            </w:tcMar>
            <w:vAlign w:val="center"/>
          </w:tcPr>
          <w:p w14:paraId="17F0D625" w14:textId="77777777" w:rsidR="0081617D" w:rsidRPr="00FC4067" w:rsidRDefault="0081617D" w:rsidP="00D64F17">
            <w:r w:rsidRPr="00FC4067">
              <w:t>Name of body as described in the constituting Act</w:t>
            </w:r>
          </w:p>
        </w:tc>
        <w:tc>
          <w:tcPr>
            <w:tcW w:w="3401" w:type="dxa"/>
            <w:shd w:val="clear" w:color="auto" w:fill="BFBFBF" w:themeFill="background1" w:themeFillShade="BF"/>
            <w:tcMar>
              <w:top w:w="80" w:type="dxa"/>
              <w:left w:w="80" w:type="dxa"/>
              <w:bottom w:w="80" w:type="dxa"/>
              <w:right w:w="80" w:type="dxa"/>
            </w:tcMar>
            <w:vAlign w:val="center"/>
          </w:tcPr>
          <w:p w14:paraId="0D540563" w14:textId="77777777" w:rsidR="0081617D" w:rsidRPr="00FC4067" w:rsidRDefault="0081617D" w:rsidP="00D64F17">
            <w:r w:rsidRPr="00FC4067">
              <w:t>Constituting Act</w:t>
            </w:r>
          </w:p>
        </w:tc>
        <w:tc>
          <w:tcPr>
            <w:tcW w:w="3402" w:type="dxa"/>
            <w:shd w:val="clear" w:color="auto" w:fill="BFBFBF" w:themeFill="background1" w:themeFillShade="BF"/>
            <w:tcMar>
              <w:top w:w="80" w:type="dxa"/>
              <w:left w:w="80" w:type="dxa"/>
              <w:bottom w:w="80" w:type="dxa"/>
              <w:right w:w="80" w:type="dxa"/>
            </w:tcMar>
            <w:vAlign w:val="center"/>
          </w:tcPr>
          <w:p w14:paraId="6B5F666D" w14:textId="77777777" w:rsidR="0081617D" w:rsidRPr="00FC4067" w:rsidRDefault="0081617D" w:rsidP="00D64F17">
            <w:r w:rsidRPr="00FC4067">
              <w:t>Annual reporting arrangements</w:t>
            </w:r>
          </w:p>
        </w:tc>
      </w:tr>
      <w:tr w:rsidR="0081617D" w:rsidRPr="00FC4067" w14:paraId="3B5E1D0E" w14:textId="77777777" w:rsidTr="254438D3">
        <w:trPr>
          <w:trHeight w:val="813"/>
        </w:trPr>
        <w:tc>
          <w:tcPr>
            <w:tcW w:w="3402" w:type="dxa"/>
            <w:shd w:val="clear" w:color="auto" w:fill="auto"/>
            <w:tcMar>
              <w:top w:w="80" w:type="dxa"/>
              <w:left w:w="80" w:type="dxa"/>
              <w:bottom w:w="80" w:type="dxa"/>
              <w:right w:w="80" w:type="dxa"/>
            </w:tcMar>
            <w:vAlign w:val="center"/>
          </w:tcPr>
          <w:p w14:paraId="24C92B41" w14:textId="77777777" w:rsidR="0081617D" w:rsidRPr="00FC4067" w:rsidRDefault="0081617D" w:rsidP="00D64F17">
            <w:r w:rsidRPr="00FC4067">
              <w:t>Board of Architects of Queensland</w:t>
            </w:r>
          </w:p>
        </w:tc>
        <w:tc>
          <w:tcPr>
            <w:tcW w:w="3401" w:type="dxa"/>
            <w:shd w:val="clear" w:color="auto" w:fill="auto"/>
            <w:tcMar>
              <w:top w:w="80" w:type="dxa"/>
              <w:left w:w="80" w:type="dxa"/>
              <w:bottom w:w="80" w:type="dxa"/>
              <w:right w:w="80" w:type="dxa"/>
            </w:tcMar>
            <w:vAlign w:val="center"/>
          </w:tcPr>
          <w:p w14:paraId="548D27FD" w14:textId="77777777" w:rsidR="0081617D" w:rsidRPr="00346306" w:rsidRDefault="0081617D" w:rsidP="00D64F17">
            <w:pPr>
              <w:rPr>
                <w:i/>
              </w:rPr>
            </w:pPr>
            <w:r w:rsidRPr="00FC4067">
              <w:rPr>
                <w:i/>
              </w:rPr>
              <w:t>Architects Act 2002</w:t>
            </w:r>
          </w:p>
        </w:tc>
        <w:tc>
          <w:tcPr>
            <w:tcW w:w="3402" w:type="dxa"/>
            <w:shd w:val="clear" w:color="auto" w:fill="auto"/>
            <w:tcMar>
              <w:top w:w="80" w:type="dxa"/>
              <w:left w:w="80" w:type="dxa"/>
              <w:bottom w:w="80" w:type="dxa"/>
              <w:right w:w="80" w:type="dxa"/>
            </w:tcMar>
            <w:vAlign w:val="center"/>
          </w:tcPr>
          <w:p w14:paraId="46440AC6" w14:textId="77777777" w:rsidR="0081617D" w:rsidRPr="00FC4067" w:rsidRDefault="0081617D" w:rsidP="00D64F17">
            <w:r w:rsidRPr="00FC4067">
              <w:t>Annual report to Parliament</w:t>
            </w:r>
          </w:p>
        </w:tc>
      </w:tr>
      <w:tr w:rsidR="0081617D" w:rsidRPr="00FC4067" w14:paraId="197ABBC4" w14:textId="77777777" w:rsidTr="254438D3">
        <w:trPr>
          <w:trHeight w:val="813"/>
        </w:trPr>
        <w:tc>
          <w:tcPr>
            <w:tcW w:w="3402" w:type="dxa"/>
            <w:shd w:val="clear" w:color="auto" w:fill="auto"/>
            <w:tcMar>
              <w:top w:w="80" w:type="dxa"/>
              <w:left w:w="80" w:type="dxa"/>
              <w:bottom w:w="80" w:type="dxa"/>
              <w:right w:w="80" w:type="dxa"/>
            </w:tcMar>
            <w:vAlign w:val="center"/>
          </w:tcPr>
          <w:p w14:paraId="248D74BC" w14:textId="77777777" w:rsidR="0081617D" w:rsidRPr="00FC4067" w:rsidRDefault="0081617D" w:rsidP="00D64F17">
            <w:r w:rsidRPr="00FC4067">
              <w:t>Board of Professional Engineers of Queensland</w:t>
            </w:r>
          </w:p>
        </w:tc>
        <w:tc>
          <w:tcPr>
            <w:tcW w:w="3401" w:type="dxa"/>
            <w:shd w:val="clear" w:color="auto" w:fill="auto"/>
            <w:tcMar>
              <w:top w:w="80" w:type="dxa"/>
              <w:left w:w="80" w:type="dxa"/>
              <w:bottom w:w="80" w:type="dxa"/>
              <w:right w:w="80" w:type="dxa"/>
            </w:tcMar>
            <w:vAlign w:val="center"/>
          </w:tcPr>
          <w:p w14:paraId="61C4112F" w14:textId="77777777" w:rsidR="0081617D" w:rsidRPr="00346306" w:rsidRDefault="0081617D" w:rsidP="00D64F17">
            <w:pPr>
              <w:rPr>
                <w:i/>
              </w:rPr>
            </w:pPr>
            <w:r w:rsidRPr="00FC4067">
              <w:rPr>
                <w:i/>
              </w:rPr>
              <w:t>Professional Engineers Act 2002</w:t>
            </w:r>
          </w:p>
        </w:tc>
        <w:tc>
          <w:tcPr>
            <w:tcW w:w="3402" w:type="dxa"/>
            <w:shd w:val="clear" w:color="auto" w:fill="auto"/>
            <w:tcMar>
              <w:top w:w="80" w:type="dxa"/>
              <w:left w:w="80" w:type="dxa"/>
              <w:bottom w:w="80" w:type="dxa"/>
              <w:right w:w="80" w:type="dxa"/>
            </w:tcMar>
            <w:vAlign w:val="center"/>
          </w:tcPr>
          <w:p w14:paraId="39D41D74" w14:textId="77777777" w:rsidR="0081617D" w:rsidRPr="00FC4067" w:rsidRDefault="0081617D" w:rsidP="00D64F17">
            <w:r w:rsidRPr="00FC4067">
              <w:t>Annual report to Parliament</w:t>
            </w:r>
          </w:p>
        </w:tc>
      </w:tr>
      <w:tr w:rsidR="0081617D" w:rsidRPr="00FC4067" w14:paraId="4868A23B" w14:textId="77777777" w:rsidTr="254438D3">
        <w:trPr>
          <w:trHeight w:val="813"/>
        </w:trPr>
        <w:tc>
          <w:tcPr>
            <w:tcW w:w="3402" w:type="dxa"/>
            <w:shd w:val="clear" w:color="auto" w:fill="auto"/>
            <w:tcMar>
              <w:top w:w="80" w:type="dxa"/>
              <w:left w:w="80" w:type="dxa"/>
              <w:bottom w:w="80" w:type="dxa"/>
              <w:right w:w="80" w:type="dxa"/>
            </w:tcMar>
            <w:vAlign w:val="center"/>
          </w:tcPr>
          <w:p w14:paraId="148212C4" w14:textId="77777777" w:rsidR="0081617D" w:rsidRPr="00FC4067" w:rsidRDefault="0081617D" w:rsidP="00D64F17">
            <w:r w:rsidRPr="00FC4067">
              <w:t>Queensland Building and Construction Commission</w:t>
            </w:r>
          </w:p>
        </w:tc>
        <w:tc>
          <w:tcPr>
            <w:tcW w:w="3401" w:type="dxa"/>
            <w:shd w:val="clear" w:color="auto" w:fill="auto"/>
            <w:tcMar>
              <w:top w:w="80" w:type="dxa"/>
              <w:left w:w="80" w:type="dxa"/>
              <w:bottom w:w="80" w:type="dxa"/>
              <w:right w:w="80" w:type="dxa"/>
            </w:tcMar>
            <w:vAlign w:val="center"/>
          </w:tcPr>
          <w:p w14:paraId="5D16A465" w14:textId="77777777" w:rsidR="0081617D" w:rsidRPr="00346306" w:rsidRDefault="0081617D" w:rsidP="00D64F17">
            <w:pPr>
              <w:rPr>
                <w:i/>
              </w:rPr>
            </w:pPr>
            <w:r w:rsidRPr="00FC4067">
              <w:rPr>
                <w:i/>
              </w:rPr>
              <w:t>Queensland Building and Construction Commission Act 1991</w:t>
            </w:r>
          </w:p>
        </w:tc>
        <w:tc>
          <w:tcPr>
            <w:tcW w:w="3402" w:type="dxa"/>
            <w:shd w:val="clear" w:color="auto" w:fill="auto"/>
            <w:tcMar>
              <w:top w:w="80" w:type="dxa"/>
              <w:left w:w="80" w:type="dxa"/>
              <w:bottom w:w="80" w:type="dxa"/>
              <w:right w:w="80" w:type="dxa"/>
            </w:tcMar>
            <w:vAlign w:val="center"/>
          </w:tcPr>
          <w:p w14:paraId="48ADA390" w14:textId="77777777" w:rsidR="0081617D" w:rsidRPr="00FC4067" w:rsidRDefault="0081617D" w:rsidP="00D64F17">
            <w:r w:rsidRPr="00FC4067">
              <w:t>Annual report to Parliament</w:t>
            </w:r>
          </w:p>
        </w:tc>
      </w:tr>
      <w:tr w:rsidR="0081617D" w:rsidRPr="00FC4067" w14:paraId="361AC4E4" w14:textId="77777777" w:rsidTr="254438D3">
        <w:trPr>
          <w:trHeight w:val="813"/>
        </w:trPr>
        <w:tc>
          <w:tcPr>
            <w:tcW w:w="3402" w:type="dxa"/>
            <w:shd w:val="clear" w:color="auto" w:fill="auto"/>
            <w:tcMar>
              <w:top w:w="80" w:type="dxa"/>
              <w:left w:w="80" w:type="dxa"/>
              <w:bottom w:w="80" w:type="dxa"/>
              <w:right w:w="80" w:type="dxa"/>
            </w:tcMar>
            <w:vAlign w:val="center"/>
          </w:tcPr>
          <w:p w14:paraId="71247FE1" w14:textId="77777777" w:rsidR="0081617D" w:rsidRPr="00FC4067" w:rsidRDefault="0081617D" w:rsidP="00D64F17">
            <w:r w:rsidRPr="00FC4067">
              <w:t>Residential Tenancies Authority</w:t>
            </w:r>
          </w:p>
        </w:tc>
        <w:tc>
          <w:tcPr>
            <w:tcW w:w="3401" w:type="dxa"/>
            <w:shd w:val="clear" w:color="auto" w:fill="auto"/>
            <w:tcMar>
              <w:top w:w="80" w:type="dxa"/>
              <w:left w:w="80" w:type="dxa"/>
              <w:bottom w:w="80" w:type="dxa"/>
              <w:right w:w="80" w:type="dxa"/>
            </w:tcMar>
            <w:vAlign w:val="center"/>
          </w:tcPr>
          <w:p w14:paraId="204AE1C3" w14:textId="77777777" w:rsidR="0081617D" w:rsidRPr="00346306" w:rsidRDefault="0081617D" w:rsidP="00D64F17">
            <w:pPr>
              <w:rPr>
                <w:i/>
              </w:rPr>
            </w:pPr>
            <w:r w:rsidRPr="00FC4067">
              <w:rPr>
                <w:i/>
              </w:rPr>
              <w:t>Residential Tenancies and Rooming Accommodation Act 2008</w:t>
            </w:r>
          </w:p>
        </w:tc>
        <w:tc>
          <w:tcPr>
            <w:tcW w:w="3402" w:type="dxa"/>
            <w:shd w:val="clear" w:color="auto" w:fill="auto"/>
            <w:tcMar>
              <w:top w:w="80" w:type="dxa"/>
              <w:left w:w="80" w:type="dxa"/>
              <w:bottom w:w="80" w:type="dxa"/>
              <w:right w:w="80" w:type="dxa"/>
            </w:tcMar>
            <w:vAlign w:val="center"/>
          </w:tcPr>
          <w:p w14:paraId="73C3B59A" w14:textId="77777777" w:rsidR="0081617D" w:rsidRPr="00FC4067" w:rsidRDefault="0081617D" w:rsidP="00D64F17">
            <w:r w:rsidRPr="00FC4067">
              <w:t>Annual report to Parliament</w:t>
            </w:r>
          </w:p>
        </w:tc>
      </w:tr>
    </w:tbl>
    <w:p w14:paraId="6BF2F32D" w14:textId="77777777" w:rsidR="0081617D" w:rsidRPr="002F0A6A" w:rsidRDefault="0081617D" w:rsidP="002F0A6A">
      <w:pPr>
        <w:pStyle w:val="Heading3"/>
      </w:pPr>
      <w:bookmarkStart w:id="72" w:name="_Toc464823686"/>
      <w:r w:rsidRPr="002F0A6A">
        <w:t>Government Bodies, Boards and Committees</w:t>
      </w:r>
      <w:bookmarkEnd w:id="72"/>
    </w:p>
    <w:p w14:paraId="6267ED1F" w14:textId="01501458" w:rsidR="0081617D" w:rsidRPr="00FC4067" w:rsidRDefault="0081617D" w:rsidP="00CF0A4C">
      <w:r w:rsidRPr="00FC4067">
        <w:t xml:space="preserve">The following bodies, boards and committees were active during </w:t>
      </w:r>
      <w:r w:rsidR="00B356CF" w:rsidRPr="00FC4067">
        <w:t>2016</w:t>
      </w:r>
      <w:r w:rsidR="00453A3F">
        <w:t>–</w:t>
      </w:r>
      <w:r w:rsidR="00B356CF" w:rsidRPr="00FC4067">
        <w:t>17</w:t>
      </w:r>
      <w:r w:rsidRPr="00FC4067">
        <w:t xml:space="preserve"> with reporting arrangements to the Department of Housing and Public Works.</w:t>
      </w:r>
    </w:p>
    <w:p w14:paraId="4800AE21" w14:textId="73140C55" w:rsidR="0081617D" w:rsidRPr="00FC4067" w:rsidRDefault="0081617D" w:rsidP="00CF0A4C">
      <w:r w:rsidRPr="00FC4067">
        <w:t xml:space="preserve">Additional information on government bodies is available </w:t>
      </w:r>
      <w:r w:rsidR="00D734C5">
        <w:t>on</w:t>
      </w:r>
      <w:r w:rsidR="00D734C5" w:rsidRPr="00FC4067">
        <w:t xml:space="preserve"> </w:t>
      </w:r>
      <w:r w:rsidRPr="00FC4067">
        <w:t>the department’s website:</w:t>
      </w:r>
    </w:p>
    <w:p w14:paraId="5D250918" w14:textId="6329FF61" w:rsidR="0081617D" w:rsidRPr="00FC4067" w:rsidRDefault="00455FE3" w:rsidP="00CF0A4C">
      <w:pPr>
        <w:rPr>
          <w:rStyle w:val="bold0"/>
          <w:rFonts w:asciiTheme="minorHAnsi" w:hAnsiTheme="minorHAnsi" w:cs="MetaNormalLF-Roman"/>
        </w:rPr>
      </w:pPr>
      <w:hyperlink r:id="rId23" w:history="1">
        <w:r w:rsidR="00D734C5">
          <w:rPr>
            <w:rStyle w:val="Hyperlink"/>
            <w:rFonts w:cs="MetaNormalLF-Roman"/>
          </w:rPr>
          <w:t>www.hpw.qld.gov.au</w:t>
        </w:r>
      </w:hyperlink>
    </w:p>
    <w:p w14:paraId="02E8CCEB" w14:textId="77777777" w:rsidR="00976493" w:rsidRPr="002F0A6A" w:rsidRDefault="00976493" w:rsidP="002F0A6A">
      <w:pPr>
        <w:rPr>
          <w:b/>
        </w:rPr>
      </w:pPr>
      <w:r w:rsidRPr="002F0A6A">
        <w:rPr>
          <w:b/>
        </w:rPr>
        <w:t>Building and Development Dispute Resolution Committees</w:t>
      </w:r>
    </w:p>
    <w:p w14:paraId="7A39485E" w14:textId="36559A60" w:rsidR="002211A0" w:rsidRPr="00FC4067" w:rsidRDefault="002211A0" w:rsidP="00CF0A4C">
      <w:r w:rsidRPr="00FC4067">
        <w:t xml:space="preserve">(From 3 July 2017 – </w:t>
      </w:r>
      <w:r w:rsidR="007B76DA" w:rsidRPr="00FC4067">
        <w:t>are</w:t>
      </w:r>
      <w:r w:rsidRPr="00FC4067">
        <w:t xml:space="preserve"> known as Development Tribunals)</w:t>
      </w:r>
    </w:p>
    <w:p w14:paraId="106B07B1" w14:textId="7DB2D98C" w:rsidR="00976493" w:rsidRPr="00FC4067" w:rsidRDefault="00976493" w:rsidP="00A11A4E">
      <w:r w:rsidRPr="00FC4067">
        <w:t xml:space="preserve">The Building and Development Dispute Resolution Committees provide a cost effective, timely and accessible non-court based dispute resolution service for deciding appeals against decisions of </w:t>
      </w:r>
      <w:r w:rsidR="00B356CF" w:rsidRPr="00FC4067">
        <w:t>l</w:t>
      </w:r>
      <w:r w:rsidRPr="00FC4067">
        <w:t xml:space="preserve">ocal </w:t>
      </w:r>
      <w:r w:rsidR="00B356CF" w:rsidRPr="00FC4067">
        <w:t>g</w:t>
      </w:r>
      <w:r w:rsidRPr="00FC4067">
        <w:t xml:space="preserve">overnments and private building certifiers about a range of building, plumbing and planning matters, and infrastructure charges notices. Referees are appointed by the Minister under the </w:t>
      </w:r>
      <w:r w:rsidRPr="00FC4067">
        <w:rPr>
          <w:i/>
        </w:rPr>
        <w:t>Sustainable Planning Act 2009</w:t>
      </w:r>
      <w:r w:rsidRPr="00FC4067">
        <w:t xml:space="preserve"> for a maximum term of three years</w:t>
      </w:r>
    </w:p>
    <w:p w14:paraId="6DC39EEE" w14:textId="77777777" w:rsidR="0081617D" w:rsidRPr="002F0A6A" w:rsidRDefault="0081617D" w:rsidP="002F0A6A">
      <w:pPr>
        <w:rPr>
          <w:b/>
        </w:rPr>
      </w:pPr>
      <w:bookmarkStart w:id="73" w:name="_Hlk489623430"/>
      <w:r w:rsidRPr="002F0A6A">
        <w:rPr>
          <w:b/>
        </w:rPr>
        <w:t xml:space="preserve">Brisbane Housing Company Ltd </w:t>
      </w:r>
    </w:p>
    <w:p w14:paraId="04B4FED6" w14:textId="77777777" w:rsidR="0081617D" w:rsidRPr="00FC4067" w:rsidRDefault="0081617D" w:rsidP="00CF0A4C">
      <w:r w:rsidRPr="00FC4067">
        <w:t>Brisbane Housing Company Ltd is a not-for-profit organisation that delivers affordable housing and mixed tenure developments that incorporate elements of social housing, National Rental Affordability Scheme market for sale product, retail and commercial space.</w:t>
      </w:r>
    </w:p>
    <w:p w14:paraId="39B2DFF3" w14:textId="19F7D2F6" w:rsidR="0081617D" w:rsidRPr="00FC4067" w:rsidRDefault="0081617D" w:rsidP="002F0A6A">
      <w:pPr>
        <w:rPr>
          <w:rStyle w:val="bold0"/>
          <w:rFonts w:asciiTheme="minorHAnsi" w:hAnsiTheme="minorHAnsi"/>
        </w:rPr>
      </w:pPr>
      <w:r w:rsidRPr="00FC4067">
        <w:t xml:space="preserve">Brisbane Housing Company Ltd is required to provide quarterly unaudited management accounts, and annual audited balance sheet and profit and loss account to the department. </w:t>
      </w:r>
      <w:bookmarkEnd w:id="73"/>
      <w:r w:rsidRPr="00FC4067">
        <w:rPr>
          <w:rStyle w:val="bold0"/>
          <w:rFonts w:asciiTheme="minorHAnsi" w:hAnsiTheme="minorHAnsi"/>
        </w:rPr>
        <w:br w:type="page"/>
      </w:r>
    </w:p>
    <w:p w14:paraId="1E464E9D" w14:textId="77777777" w:rsidR="0081617D" w:rsidRPr="00FC4067" w:rsidRDefault="0081617D" w:rsidP="005D3ADE">
      <w:pPr>
        <w:pStyle w:val="Heading1"/>
      </w:pPr>
      <w:bookmarkStart w:id="74" w:name="_Toc464823687"/>
      <w:bookmarkStart w:id="75" w:name="_Toc494984648"/>
      <w:r w:rsidRPr="00FC4067">
        <w:lastRenderedPageBreak/>
        <w:t>Open Data</w:t>
      </w:r>
      <w:bookmarkEnd w:id="74"/>
      <w:bookmarkEnd w:id="75"/>
    </w:p>
    <w:p w14:paraId="0A428EA4" w14:textId="77777777" w:rsidR="0081617D" w:rsidRPr="00FC4067" w:rsidRDefault="0081617D" w:rsidP="0004270E">
      <w:pPr>
        <w:pStyle w:val="Heading2"/>
      </w:pPr>
      <w:bookmarkStart w:id="76" w:name="_Toc494984649"/>
      <w:r w:rsidRPr="00FC4067">
        <w:t>Overseas Travel</w:t>
      </w:r>
      <w:bookmarkEnd w:id="76"/>
    </w:p>
    <w:p w14:paraId="3666E67F" w14:textId="75AF0832" w:rsidR="0081617D" w:rsidRPr="00FC4067" w:rsidRDefault="0081617D" w:rsidP="00CF0A4C">
      <w:r w:rsidRPr="00FC4067">
        <w:t>During 20</w:t>
      </w:r>
      <w:r w:rsidR="00E73BC7" w:rsidRPr="00FC4067">
        <w:t>16</w:t>
      </w:r>
      <w:r w:rsidRPr="00FC4067">
        <w:t>–1</w:t>
      </w:r>
      <w:r w:rsidR="00E73BC7" w:rsidRPr="00FC4067">
        <w:t>7</w:t>
      </w:r>
      <w:r w:rsidRPr="00FC4067" w:rsidDel="00E73BC7">
        <w:t xml:space="preserve"> </w:t>
      </w:r>
      <w:r w:rsidR="00E73BC7" w:rsidRPr="00FC4067">
        <w:t>two</w:t>
      </w:r>
      <w:r w:rsidRPr="00FC4067">
        <w:t xml:space="preserve"> departmental officers travelled overseas.</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706"/>
        <w:gridCol w:w="1559"/>
        <w:gridCol w:w="1520"/>
        <w:gridCol w:w="3300"/>
      </w:tblGrid>
      <w:tr w:rsidR="00E46B2C" w:rsidRPr="00FC4067" w14:paraId="2C873E8B" w14:textId="77777777" w:rsidTr="00BB52E1">
        <w:trPr>
          <w:trHeight w:val="300"/>
        </w:trPr>
        <w:tc>
          <w:tcPr>
            <w:tcW w:w="1838" w:type="dxa"/>
            <w:shd w:val="clear" w:color="auto" w:fill="D9D9D9" w:themeFill="background1" w:themeFillShade="D9"/>
            <w:noWrap/>
            <w:vAlign w:val="bottom"/>
            <w:hideMark/>
          </w:tcPr>
          <w:p w14:paraId="7315FE19" w14:textId="77777777" w:rsidR="004B62E6" w:rsidRPr="00346306" w:rsidRDefault="004B62E6" w:rsidP="00A11A4E">
            <w:pPr>
              <w:rPr>
                <w:b/>
              </w:rPr>
            </w:pPr>
            <w:r w:rsidRPr="00FC4067">
              <w:rPr>
                <w:b/>
              </w:rPr>
              <w:t>Name of officer / member and position</w:t>
            </w:r>
          </w:p>
        </w:tc>
        <w:tc>
          <w:tcPr>
            <w:tcW w:w="1706" w:type="dxa"/>
            <w:shd w:val="clear" w:color="auto" w:fill="D9D9D9" w:themeFill="background1" w:themeFillShade="D9"/>
            <w:noWrap/>
            <w:vAlign w:val="bottom"/>
            <w:hideMark/>
          </w:tcPr>
          <w:p w14:paraId="2DC20AFB" w14:textId="77777777" w:rsidR="004B62E6" w:rsidRPr="00346306" w:rsidRDefault="004B62E6" w:rsidP="00A11A4E">
            <w:pPr>
              <w:rPr>
                <w:b/>
              </w:rPr>
            </w:pPr>
            <w:r w:rsidRPr="00FC4067">
              <w:rPr>
                <w:b/>
              </w:rPr>
              <w:t>Destination</w:t>
            </w:r>
          </w:p>
        </w:tc>
        <w:tc>
          <w:tcPr>
            <w:tcW w:w="1559" w:type="dxa"/>
            <w:shd w:val="clear" w:color="auto" w:fill="D9D9D9" w:themeFill="background1" w:themeFillShade="D9"/>
            <w:noWrap/>
            <w:vAlign w:val="bottom"/>
            <w:hideMark/>
          </w:tcPr>
          <w:p w14:paraId="082C0971" w14:textId="77777777" w:rsidR="004B62E6" w:rsidRPr="00346306" w:rsidRDefault="004B62E6" w:rsidP="00A11A4E">
            <w:pPr>
              <w:rPr>
                <w:b/>
              </w:rPr>
            </w:pPr>
            <w:r w:rsidRPr="00FC4067">
              <w:rPr>
                <w:b/>
              </w:rPr>
              <w:t>Reason for Travel</w:t>
            </w:r>
          </w:p>
        </w:tc>
        <w:tc>
          <w:tcPr>
            <w:tcW w:w="1520" w:type="dxa"/>
            <w:shd w:val="clear" w:color="auto" w:fill="D9D9D9" w:themeFill="background1" w:themeFillShade="D9"/>
            <w:noWrap/>
            <w:vAlign w:val="bottom"/>
            <w:hideMark/>
          </w:tcPr>
          <w:p w14:paraId="1C72E7C1" w14:textId="77777777" w:rsidR="004B62E6" w:rsidRPr="00346306" w:rsidRDefault="004B62E6" w:rsidP="00A11A4E">
            <w:pPr>
              <w:rPr>
                <w:b/>
              </w:rPr>
            </w:pPr>
            <w:r w:rsidRPr="00FC4067">
              <w:rPr>
                <w:b/>
              </w:rPr>
              <w:t>Agency cost ($)</w:t>
            </w:r>
          </w:p>
        </w:tc>
        <w:tc>
          <w:tcPr>
            <w:tcW w:w="3300" w:type="dxa"/>
            <w:shd w:val="clear" w:color="auto" w:fill="D9D9D9" w:themeFill="background1" w:themeFillShade="D9"/>
            <w:noWrap/>
            <w:vAlign w:val="bottom"/>
            <w:hideMark/>
          </w:tcPr>
          <w:p w14:paraId="7F319753" w14:textId="77777777" w:rsidR="004B62E6" w:rsidRPr="00346306" w:rsidRDefault="004B62E6" w:rsidP="00A11A4E">
            <w:pPr>
              <w:rPr>
                <w:b/>
              </w:rPr>
            </w:pPr>
            <w:r w:rsidRPr="00FC4067">
              <w:rPr>
                <w:b/>
              </w:rPr>
              <w:t>Contribution from External Sources ($)</w:t>
            </w:r>
          </w:p>
        </w:tc>
      </w:tr>
      <w:tr w:rsidR="00E46B2C" w:rsidRPr="00FC4067" w14:paraId="65ADF9B8" w14:textId="77777777" w:rsidTr="00912E38">
        <w:trPr>
          <w:trHeight w:val="600"/>
        </w:trPr>
        <w:tc>
          <w:tcPr>
            <w:tcW w:w="1838" w:type="dxa"/>
            <w:vMerge w:val="restart"/>
            <w:shd w:val="clear" w:color="auto" w:fill="auto"/>
            <w:hideMark/>
          </w:tcPr>
          <w:p w14:paraId="5B7729D8" w14:textId="3420B752" w:rsidR="004B62E6" w:rsidRPr="00FC4067" w:rsidRDefault="004B62E6" w:rsidP="00CF0A4C">
            <w:pPr>
              <w:rPr>
                <w:lang w:eastAsia="en-AU"/>
              </w:rPr>
            </w:pPr>
            <w:r w:rsidRPr="00FC4067">
              <w:rPr>
                <w:lang w:eastAsia="en-AU"/>
              </w:rPr>
              <w:t xml:space="preserve">Christine Castley, Deputy Director-General Housing </w:t>
            </w:r>
            <w:r w:rsidR="007C21BA" w:rsidRPr="00FC4067">
              <w:rPr>
                <w:lang w:eastAsia="en-AU"/>
              </w:rPr>
              <w:t xml:space="preserve">and Homelessness </w:t>
            </w:r>
            <w:r w:rsidRPr="00FC4067">
              <w:rPr>
                <w:lang w:eastAsia="en-AU"/>
              </w:rPr>
              <w:t>Services</w:t>
            </w:r>
          </w:p>
        </w:tc>
        <w:tc>
          <w:tcPr>
            <w:tcW w:w="1706" w:type="dxa"/>
            <w:vMerge w:val="restart"/>
            <w:shd w:val="clear" w:color="auto" w:fill="auto"/>
            <w:hideMark/>
          </w:tcPr>
          <w:p w14:paraId="058D2B06" w14:textId="77777777" w:rsidR="004B62E6" w:rsidRPr="00FC4067" w:rsidRDefault="004B62E6" w:rsidP="00CF0A4C">
            <w:pPr>
              <w:rPr>
                <w:lang w:eastAsia="en-AU"/>
              </w:rPr>
            </w:pPr>
            <w:r w:rsidRPr="00FC4067">
              <w:rPr>
                <w:lang w:eastAsia="en-AU"/>
              </w:rPr>
              <w:t>Beijing, China 18/09/16 – 30/09/16</w:t>
            </w:r>
          </w:p>
        </w:tc>
        <w:tc>
          <w:tcPr>
            <w:tcW w:w="1559" w:type="dxa"/>
            <w:vMerge w:val="restart"/>
            <w:shd w:val="clear" w:color="auto" w:fill="auto"/>
            <w:hideMark/>
          </w:tcPr>
          <w:p w14:paraId="13B839B5" w14:textId="14057E67" w:rsidR="004B62E6" w:rsidRPr="00FC4067" w:rsidRDefault="004B62E6" w:rsidP="00CF0A4C">
            <w:pPr>
              <w:rPr>
                <w:lang w:eastAsia="en-AU"/>
              </w:rPr>
            </w:pPr>
            <w:r w:rsidRPr="00FC4067">
              <w:rPr>
                <w:lang w:eastAsia="en-AU"/>
              </w:rPr>
              <w:t>Travel to Beijing, China to participate in the Australian New Zealand School of Government (ANZSOG) reciprocal program agreed to by the Australian and Chinese governments.</w:t>
            </w:r>
          </w:p>
        </w:tc>
        <w:tc>
          <w:tcPr>
            <w:tcW w:w="1520" w:type="dxa"/>
            <w:vMerge w:val="restart"/>
            <w:shd w:val="clear" w:color="auto" w:fill="auto"/>
            <w:noWrap/>
            <w:hideMark/>
          </w:tcPr>
          <w:p w14:paraId="1D8A94E5" w14:textId="77777777" w:rsidR="004B62E6" w:rsidRPr="00FC4067" w:rsidRDefault="004B62E6" w:rsidP="00CF0A4C">
            <w:pPr>
              <w:rPr>
                <w:lang w:eastAsia="en-AU"/>
              </w:rPr>
            </w:pPr>
            <w:r w:rsidRPr="00FC4067">
              <w:rPr>
                <w:lang w:eastAsia="en-AU"/>
              </w:rPr>
              <w:t>$6,808.48</w:t>
            </w:r>
          </w:p>
        </w:tc>
        <w:tc>
          <w:tcPr>
            <w:tcW w:w="3300" w:type="dxa"/>
            <w:shd w:val="clear" w:color="auto" w:fill="auto"/>
            <w:hideMark/>
          </w:tcPr>
          <w:p w14:paraId="687EDB3F" w14:textId="29EFF3BE" w:rsidR="004B62E6" w:rsidRPr="00FC4067" w:rsidRDefault="004B62E6" w:rsidP="00CF0A4C">
            <w:pPr>
              <w:rPr>
                <w:lang w:eastAsia="en-AU"/>
              </w:rPr>
            </w:pPr>
            <w:bookmarkStart w:id="77" w:name="RANGE!E2"/>
            <w:r w:rsidRPr="00FC4067">
              <w:rPr>
                <w:lang w:eastAsia="en-AU"/>
              </w:rPr>
              <w:t xml:space="preserve">$3,500 administration fee paid by </w:t>
            </w:r>
            <w:r w:rsidR="004E1C3F" w:rsidRPr="00FC4067">
              <w:rPr>
                <w:lang w:eastAsia="en-AU"/>
              </w:rPr>
              <w:t>the</w:t>
            </w:r>
            <w:r w:rsidRPr="00FC4067">
              <w:rPr>
                <w:lang w:eastAsia="en-AU"/>
              </w:rPr>
              <w:t xml:space="preserve"> Department </w:t>
            </w:r>
            <w:r w:rsidR="004E1C3F" w:rsidRPr="00FC4067">
              <w:rPr>
                <w:lang w:eastAsia="en-AU"/>
              </w:rPr>
              <w:t xml:space="preserve">of the </w:t>
            </w:r>
            <w:r w:rsidRPr="00FC4067">
              <w:rPr>
                <w:lang w:eastAsia="en-AU"/>
              </w:rPr>
              <w:t xml:space="preserve">Premier and Cabinet. </w:t>
            </w:r>
            <w:bookmarkEnd w:id="77"/>
          </w:p>
        </w:tc>
      </w:tr>
      <w:tr w:rsidR="00E73BC7" w:rsidRPr="00FC4067" w14:paraId="7BF2ED5C" w14:textId="77777777" w:rsidTr="5E3A9904">
        <w:trPr>
          <w:trHeight w:val="900"/>
        </w:trPr>
        <w:tc>
          <w:tcPr>
            <w:tcW w:w="1838" w:type="dxa"/>
            <w:vMerge/>
            <w:vAlign w:val="center"/>
            <w:hideMark/>
          </w:tcPr>
          <w:p w14:paraId="5E51EF05" w14:textId="77777777" w:rsidR="004B62E6" w:rsidRPr="00FC4067" w:rsidRDefault="004B62E6" w:rsidP="00CF0A4C">
            <w:pPr>
              <w:rPr>
                <w:lang w:eastAsia="en-AU"/>
              </w:rPr>
            </w:pPr>
          </w:p>
        </w:tc>
        <w:tc>
          <w:tcPr>
            <w:tcW w:w="1706" w:type="dxa"/>
            <w:vMerge/>
            <w:vAlign w:val="center"/>
            <w:hideMark/>
          </w:tcPr>
          <w:p w14:paraId="084B713B" w14:textId="77777777" w:rsidR="004B62E6" w:rsidRPr="00FC4067" w:rsidRDefault="004B62E6" w:rsidP="00CF0A4C">
            <w:pPr>
              <w:rPr>
                <w:lang w:eastAsia="en-AU"/>
              </w:rPr>
            </w:pPr>
          </w:p>
        </w:tc>
        <w:tc>
          <w:tcPr>
            <w:tcW w:w="1559" w:type="dxa"/>
            <w:vMerge/>
            <w:vAlign w:val="center"/>
            <w:hideMark/>
          </w:tcPr>
          <w:p w14:paraId="514392D0" w14:textId="77777777" w:rsidR="004B62E6" w:rsidRPr="00FC4067" w:rsidRDefault="004B62E6" w:rsidP="00CF0A4C">
            <w:pPr>
              <w:rPr>
                <w:lang w:eastAsia="en-AU"/>
              </w:rPr>
            </w:pPr>
          </w:p>
        </w:tc>
        <w:tc>
          <w:tcPr>
            <w:tcW w:w="1520" w:type="dxa"/>
            <w:vMerge/>
            <w:vAlign w:val="center"/>
            <w:hideMark/>
          </w:tcPr>
          <w:p w14:paraId="2864201D" w14:textId="77777777" w:rsidR="004B62E6" w:rsidRPr="00FC4067" w:rsidRDefault="004B62E6" w:rsidP="00CF0A4C">
            <w:pPr>
              <w:rPr>
                <w:lang w:eastAsia="en-AU"/>
              </w:rPr>
            </w:pPr>
          </w:p>
        </w:tc>
        <w:tc>
          <w:tcPr>
            <w:tcW w:w="3300" w:type="dxa"/>
            <w:shd w:val="clear" w:color="auto" w:fill="auto"/>
            <w:hideMark/>
          </w:tcPr>
          <w:p w14:paraId="2430B741" w14:textId="77777777" w:rsidR="004B62E6" w:rsidRPr="00FC4067" w:rsidRDefault="004B62E6" w:rsidP="00CF0A4C">
            <w:pPr>
              <w:rPr>
                <w:lang w:eastAsia="en-AU"/>
              </w:rPr>
            </w:pPr>
            <w:r w:rsidRPr="00FC4067">
              <w:rPr>
                <w:lang w:eastAsia="en-AU"/>
              </w:rPr>
              <w:t>The Chinese government covered costs of accommodation, meals and internal air travel (estimated at $5,315).</w:t>
            </w:r>
          </w:p>
        </w:tc>
      </w:tr>
      <w:tr w:rsidR="00E46B2C" w:rsidRPr="00FC4067" w14:paraId="5556405B" w14:textId="77777777" w:rsidTr="5E3A9904">
        <w:trPr>
          <w:trHeight w:val="600"/>
        </w:trPr>
        <w:tc>
          <w:tcPr>
            <w:tcW w:w="1838" w:type="dxa"/>
            <w:shd w:val="clear" w:color="auto" w:fill="auto"/>
            <w:hideMark/>
          </w:tcPr>
          <w:p w14:paraId="3188DDD4" w14:textId="60C7372F" w:rsidR="004B62E6" w:rsidRPr="00FC4067" w:rsidRDefault="004B62E6" w:rsidP="00CF0A4C">
            <w:pPr>
              <w:rPr>
                <w:lang w:eastAsia="en-AU"/>
              </w:rPr>
            </w:pPr>
            <w:r w:rsidRPr="00FC4067">
              <w:rPr>
                <w:lang w:eastAsia="en-AU"/>
              </w:rPr>
              <w:t xml:space="preserve">Kirstine Harvie, Executive Director Strategy, Policy and Programs, Housing </w:t>
            </w:r>
            <w:r w:rsidR="007C21BA" w:rsidRPr="00FC4067">
              <w:rPr>
                <w:lang w:eastAsia="en-AU"/>
              </w:rPr>
              <w:t xml:space="preserve">and Homelessness </w:t>
            </w:r>
            <w:r w:rsidRPr="00FC4067">
              <w:rPr>
                <w:lang w:eastAsia="en-AU"/>
              </w:rPr>
              <w:t>Services</w:t>
            </w:r>
          </w:p>
        </w:tc>
        <w:tc>
          <w:tcPr>
            <w:tcW w:w="1706" w:type="dxa"/>
            <w:shd w:val="clear" w:color="auto" w:fill="auto"/>
            <w:hideMark/>
          </w:tcPr>
          <w:p w14:paraId="6AB2EE25" w14:textId="77777777" w:rsidR="004B62E6" w:rsidRPr="00FC4067" w:rsidRDefault="004B62E6" w:rsidP="00CF0A4C">
            <w:pPr>
              <w:rPr>
                <w:lang w:eastAsia="en-AU"/>
              </w:rPr>
            </w:pPr>
            <w:r w:rsidRPr="00FC4067">
              <w:rPr>
                <w:lang w:eastAsia="en-AU"/>
              </w:rPr>
              <w:t>Singapore 12/11/16 – 18/11/16</w:t>
            </w:r>
          </w:p>
        </w:tc>
        <w:tc>
          <w:tcPr>
            <w:tcW w:w="1559" w:type="dxa"/>
            <w:shd w:val="clear" w:color="auto" w:fill="auto"/>
            <w:hideMark/>
          </w:tcPr>
          <w:p w14:paraId="6D67035D" w14:textId="77777777" w:rsidR="004B62E6" w:rsidRPr="00FC4067" w:rsidRDefault="004B62E6" w:rsidP="00CF0A4C">
            <w:pPr>
              <w:rPr>
                <w:lang w:eastAsia="en-AU"/>
              </w:rPr>
            </w:pPr>
            <w:r w:rsidRPr="00FC4067">
              <w:rPr>
                <w:lang w:eastAsia="en-AU"/>
              </w:rPr>
              <w:t>Travel to Singapore to participate in ANZSOG’s 2016 Executive Fellow Program.</w:t>
            </w:r>
          </w:p>
        </w:tc>
        <w:tc>
          <w:tcPr>
            <w:tcW w:w="1520" w:type="dxa"/>
            <w:shd w:val="clear" w:color="auto" w:fill="auto"/>
            <w:hideMark/>
          </w:tcPr>
          <w:p w14:paraId="23F905A4" w14:textId="77777777" w:rsidR="004B62E6" w:rsidRPr="00FC4067" w:rsidRDefault="004B62E6" w:rsidP="00CF0A4C">
            <w:pPr>
              <w:rPr>
                <w:lang w:eastAsia="en-AU"/>
              </w:rPr>
            </w:pPr>
            <w:r w:rsidRPr="00FC4067">
              <w:rPr>
                <w:lang w:eastAsia="en-AU"/>
              </w:rPr>
              <w:t>$485.00</w:t>
            </w:r>
          </w:p>
        </w:tc>
        <w:tc>
          <w:tcPr>
            <w:tcW w:w="3300" w:type="dxa"/>
            <w:shd w:val="clear" w:color="auto" w:fill="auto"/>
            <w:hideMark/>
          </w:tcPr>
          <w:p w14:paraId="235A2BFD" w14:textId="0FB58942" w:rsidR="004B62E6" w:rsidRPr="00FC4067" w:rsidRDefault="004B62E6" w:rsidP="00CF0A4C">
            <w:pPr>
              <w:rPr>
                <w:lang w:eastAsia="en-AU"/>
              </w:rPr>
            </w:pPr>
            <w:r w:rsidRPr="00FC4067">
              <w:rPr>
                <w:lang w:eastAsia="en-AU"/>
              </w:rPr>
              <w:t xml:space="preserve">$2,800.42 </w:t>
            </w:r>
            <w:r w:rsidR="00334368" w:rsidRPr="00FC4067">
              <w:rPr>
                <w:lang w:eastAsia="en-AU"/>
              </w:rPr>
              <w:t>paid by the Public Service Commission.</w:t>
            </w:r>
          </w:p>
        </w:tc>
      </w:tr>
    </w:tbl>
    <w:p w14:paraId="24A56377" w14:textId="77777777" w:rsidR="0081617D" w:rsidRPr="00FC4067" w:rsidRDefault="0081617D" w:rsidP="0004270E">
      <w:pPr>
        <w:pStyle w:val="Heading2"/>
      </w:pPr>
      <w:bookmarkStart w:id="78" w:name="_Toc494984650"/>
      <w:r w:rsidRPr="00FC4067">
        <w:t>Consultancies</w:t>
      </w:r>
      <w:bookmarkEnd w:id="78"/>
      <w:r w:rsidRPr="00FC4067">
        <w:t xml:space="preserve"> </w:t>
      </w:r>
    </w:p>
    <w:p w14:paraId="77E59116" w14:textId="45E6973F" w:rsidR="0081617D" w:rsidRPr="00FC4067" w:rsidRDefault="0081617D" w:rsidP="00CF0A4C">
      <w:r w:rsidRPr="00FC4067">
        <w:t xml:space="preserve">Total expenditure by category of consultancies engaged by the department during </w:t>
      </w:r>
      <w:r w:rsidR="003A13DC" w:rsidRPr="00FC4067">
        <w:t>2016–17</w:t>
      </w:r>
      <w:r w:rsidRPr="00FC4067">
        <w:t xml:space="preserve"> were as follows: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3"/>
        <w:gridCol w:w="1984"/>
      </w:tblGrid>
      <w:tr w:rsidR="0081617D" w:rsidRPr="00BB52E1" w14:paraId="34CB90EB" w14:textId="77777777" w:rsidTr="5E3A9904">
        <w:trPr>
          <w:trHeight w:val="20"/>
        </w:trPr>
        <w:tc>
          <w:tcPr>
            <w:tcW w:w="4823" w:type="dxa"/>
            <w:shd w:val="clear" w:color="auto" w:fill="BFBFBF" w:themeFill="background1" w:themeFillShade="BF"/>
            <w:tcMar>
              <w:top w:w="80" w:type="dxa"/>
              <w:left w:w="80" w:type="dxa"/>
              <w:bottom w:w="80" w:type="dxa"/>
              <w:right w:w="80" w:type="dxa"/>
            </w:tcMar>
            <w:vAlign w:val="center"/>
          </w:tcPr>
          <w:p w14:paraId="3CFBF66C" w14:textId="77777777" w:rsidR="0081617D" w:rsidRPr="00BB52E1" w:rsidRDefault="0081617D" w:rsidP="00CF0A4C">
            <w:pPr>
              <w:rPr>
                <w:rFonts w:cs="MetaNormalLF-Roman"/>
                <w:b/>
                <w:lang w:val="en-US"/>
              </w:rPr>
            </w:pPr>
            <w:r w:rsidRPr="00BB52E1">
              <w:rPr>
                <w:b/>
                <w:lang w:val="en-US"/>
              </w:rPr>
              <w:t>Consultancy category</w:t>
            </w:r>
          </w:p>
        </w:tc>
        <w:tc>
          <w:tcPr>
            <w:tcW w:w="1984" w:type="dxa"/>
            <w:shd w:val="clear" w:color="auto" w:fill="BFBFBF" w:themeFill="background1" w:themeFillShade="BF"/>
            <w:tcMar>
              <w:top w:w="80" w:type="dxa"/>
              <w:left w:w="80" w:type="dxa"/>
              <w:bottom w:w="80" w:type="dxa"/>
              <w:right w:w="80" w:type="dxa"/>
            </w:tcMar>
            <w:vAlign w:val="center"/>
          </w:tcPr>
          <w:p w14:paraId="292969C6" w14:textId="77777777" w:rsidR="0081617D" w:rsidRPr="00BB52E1" w:rsidRDefault="0081617D" w:rsidP="00CF0A4C">
            <w:pPr>
              <w:rPr>
                <w:rFonts w:cs="MetaNormalLF-Roman"/>
                <w:b/>
                <w:lang w:val="en-US"/>
              </w:rPr>
            </w:pPr>
            <w:r w:rsidRPr="00BB52E1">
              <w:rPr>
                <w:b/>
                <w:lang w:val="en-US"/>
              </w:rPr>
              <w:t>Expenditure ($)</w:t>
            </w:r>
          </w:p>
        </w:tc>
      </w:tr>
      <w:tr w:rsidR="0081617D" w:rsidRPr="00FC4067" w14:paraId="06186380" w14:textId="77777777" w:rsidTr="5E3A9904">
        <w:trPr>
          <w:trHeight w:val="20"/>
        </w:trPr>
        <w:tc>
          <w:tcPr>
            <w:tcW w:w="4823" w:type="dxa"/>
            <w:shd w:val="clear" w:color="auto" w:fill="auto"/>
            <w:tcMar>
              <w:top w:w="80" w:type="dxa"/>
              <w:left w:w="80" w:type="dxa"/>
              <w:bottom w:w="80" w:type="dxa"/>
              <w:right w:w="80" w:type="dxa"/>
            </w:tcMar>
            <w:vAlign w:val="center"/>
          </w:tcPr>
          <w:p w14:paraId="008365DC" w14:textId="77777777" w:rsidR="0081617D" w:rsidRPr="00FC4067" w:rsidRDefault="0081617D" w:rsidP="00CF0A4C">
            <w:pPr>
              <w:rPr>
                <w:lang w:val="en-US"/>
              </w:rPr>
            </w:pPr>
            <w:r w:rsidRPr="00FC4067">
              <w:rPr>
                <w:lang w:val="en-US"/>
              </w:rPr>
              <w:t>Administration and management</w:t>
            </w:r>
          </w:p>
        </w:tc>
        <w:tc>
          <w:tcPr>
            <w:tcW w:w="1984" w:type="dxa"/>
            <w:shd w:val="clear" w:color="auto" w:fill="auto"/>
            <w:tcMar>
              <w:top w:w="80" w:type="dxa"/>
              <w:left w:w="80" w:type="dxa"/>
              <w:bottom w:w="80" w:type="dxa"/>
              <w:right w:w="80" w:type="dxa"/>
            </w:tcMar>
            <w:vAlign w:val="center"/>
          </w:tcPr>
          <w:p w14:paraId="4BE75E45" w14:textId="53A08AD4" w:rsidR="0081617D" w:rsidRPr="00FC4067" w:rsidRDefault="003A13DC" w:rsidP="00CF0A4C">
            <w:pPr>
              <w:rPr>
                <w:lang w:val="en-US"/>
              </w:rPr>
            </w:pPr>
            <w:r w:rsidRPr="00FC4067">
              <w:rPr>
                <w:lang w:val="en-US"/>
              </w:rPr>
              <w:t>1,864,752</w:t>
            </w:r>
          </w:p>
        </w:tc>
      </w:tr>
      <w:tr w:rsidR="0081617D" w:rsidRPr="00FC4067" w14:paraId="0BEE199F" w14:textId="77777777" w:rsidTr="5E3A9904">
        <w:trPr>
          <w:trHeight w:val="20"/>
        </w:trPr>
        <w:tc>
          <w:tcPr>
            <w:tcW w:w="4823" w:type="dxa"/>
            <w:shd w:val="clear" w:color="auto" w:fill="auto"/>
            <w:tcMar>
              <w:top w:w="80" w:type="dxa"/>
              <w:left w:w="80" w:type="dxa"/>
              <w:bottom w:w="80" w:type="dxa"/>
              <w:right w:w="80" w:type="dxa"/>
            </w:tcMar>
            <w:vAlign w:val="center"/>
          </w:tcPr>
          <w:p w14:paraId="70ADC9B0" w14:textId="77777777" w:rsidR="0081617D" w:rsidRPr="00FC4067" w:rsidRDefault="0081617D" w:rsidP="00CF0A4C">
            <w:pPr>
              <w:rPr>
                <w:lang w:val="en-US"/>
              </w:rPr>
            </w:pPr>
            <w:r w:rsidRPr="00FC4067">
              <w:rPr>
                <w:lang w:val="en-US"/>
              </w:rPr>
              <w:t>Communication</w:t>
            </w:r>
          </w:p>
        </w:tc>
        <w:tc>
          <w:tcPr>
            <w:tcW w:w="1984" w:type="dxa"/>
            <w:shd w:val="clear" w:color="auto" w:fill="auto"/>
            <w:tcMar>
              <w:top w:w="80" w:type="dxa"/>
              <w:left w:w="80" w:type="dxa"/>
              <w:bottom w:w="80" w:type="dxa"/>
              <w:right w:w="80" w:type="dxa"/>
            </w:tcMar>
            <w:vAlign w:val="center"/>
          </w:tcPr>
          <w:p w14:paraId="561F5AE0" w14:textId="64BF8EBF" w:rsidR="0081617D" w:rsidRPr="00FC4067" w:rsidRDefault="00F30F56" w:rsidP="00CF0A4C">
            <w:pPr>
              <w:rPr>
                <w:lang w:val="en-US"/>
              </w:rPr>
            </w:pPr>
            <w:r w:rsidRPr="00FC4067">
              <w:rPr>
                <w:lang w:val="en-US"/>
              </w:rPr>
              <w:t>-</w:t>
            </w:r>
          </w:p>
        </w:tc>
      </w:tr>
      <w:tr w:rsidR="0081617D" w:rsidRPr="00FC4067" w14:paraId="22ACBBF2" w14:textId="77777777" w:rsidTr="5E3A9904">
        <w:trPr>
          <w:trHeight w:val="20"/>
        </w:trPr>
        <w:tc>
          <w:tcPr>
            <w:tcW w:w="4823" w:type="dxa"/>
            <w:shd w:val="clear" w:color="auto" w:fill="auto"/>
            <w:tcMar>
              <w:top w:w="80" w:type="dxa"/>
              <w:left w:w="80" w:type="dxa"/>
              <w:bottom w:w="80" w:type="dxa"/>
              <w:right w:w="80" w:type="dxa"/>
            </w:tcMar>
            <w:vAlign w:val="center"/>
          </w:tcPr>
          <w:p w14:paraId="48599EDC" w14:textId="44B4F250" w:rsidR="0081617D" w:rsidRPr="00FC4067" w:rsidRDefault="00234FFE" w:rsidP="00CF0A4C">
            <w:pPr>
              <w:rPr>
                <w:lang w:val="en-US"/>
              </w:rPr>
            </w:pPr>
            <w:r w:rsidRPr="00FC4067">
              <w:rPr>
                <w:lang w:val="en-US"/>
              </w:rPr>
              <w:t xml:space="preserve">Finance </w:t>
            </w:r>
            <w:r w:rsidR="0081617D" w:rsidRPr="00FC4067">
              <w:rPr>
                <w:lang w:val="en-US"/>
              </w:rPr>
              <w:t>and accounting</w:t>
            </w:r>
          </w:p>
        </w:tc>
        <w:tc>
          <w:tcPr>
            <w:tcW w:w="1984" w:type="dxa"/>
            <w:shd w:val="clear" w:color="auto" w:fill="auto"/>
            <w:tcMar>
              <w:top w:w="80" w:type="dxa"/>
              <w:left w:w="80" w:type="dxa"/>
              <w:bottom w:w="80" w:type="dxa"/>
              <w:right w:w="80" w:type="dxa"/>
            </w:tcMar>
            <w:vAlign w:val="center"/>
          </w:tcPr>
          <w:p w14:paraId="31303D4F" w14:textId="58F3B634" w:rsidR="0081617D" w:rsidRPr="00FC4067" w:rsidRDefault="003A13DC" w:rsidP="00CF0A4C">
            <w:pPr>
              <w:rPr>
                <w:lang w:val="en-US"/>
              </w:rPr>
            </w:pPr>
            <w:r w:rsidRPr="00FC4067">
              <w:rPr>
                <w:lang w:val="en-US"/>
              </w:rPr>
              <w:t>19,397</w:t>
            </w:r>
          </w:p>
        </w:tc>
      </w:tr>
      <w:tr w:rsidR="0081617D" w:rsidRPr="00FC4067" w14:paraId="3B7F8B34" w14:textId="77777777" w:rsidTr="5E3A9904">
        <w:trPr>
          <w:trHeight w:val="20"/>
        </w:trPr>
        <w:tc>
          <w:tcPr>
            <w:tcW w:w="4823" w:type="dxa"/>
            <w:shd w:val="clear" w:color="auto" w:fill="auto"/>
            <w:tcMar>
              <w:top w:w="80" w:type="dxa"/>
              <w:left w:w="80" w:type="dxa"/>
              <w:bottom w:w="80" w:type="dxa"/>
              <w:right w:w="80" w:type="dxa"/>
            </w:tcMar>
            <w:vAlign w:val="center"/>
          </w:tcPr>
          <w:p w14:paraId="57B2E7E3" w14:textId="77777777" w:rsidR="0081617D" w:rsidRPr="00FC4067" w:rsidRDefault="0081617D" w:rsidP="00CF0A4C">
            <w:pPr>
              <w:rPr>
                <w:lang w:val="en-US"/>
              </w:rPr>
            </w:pPr>
            <w:r w:rsidRPr="00FC4067">
              <w:rPr>
                <w:lang w:val="en-US"/>
              </w:rPr>
              <w:lastRenderedPageBreak/>
              <w:t>Human resource management</w:t>
            </w:r>
          </w:p>
        </w:tc>
        <w:tc>
          <w:tcPr>
            <w:tcW w:w="1984" w:type="dxa"/>
            <w:shd w:val="clear" w:color="auto" w:fill="auto"/>
            <w:tcMar>
              <w:top w:w="80" w:type="dxa"/>
              <w:left w:w="80" w:type="dxa"/>
              <w:bottom w:w="80" w:type="dxa"/>
              <w:right w:w="80" w:type="dxa"/>
            </w:tcMar>
            <w:vAlign w:val="center"/>
          </w:tcPr>
          <w:p w14:paraId="0576D96B" w14:textId="58630AE4" w:rsidR="0081617D" w:rsidRPr="00FC4067" w:rsidRDefault="00234FFE" w:rsidP="00CF0A4C">
            <w:pPr>
              <w:rPr>
                <w:lang w:val="en-US"/>
              </w:rPr>
            </w:pPr>
            <w:r w:rsidRPr="00FC4067">
              <w:rPr>
                <w:lang w:val="en-US"/>
              </w:rPr>
              <w:t>36,000</w:t>
            </w:r>
          </w:p>
        </w:tc>
      </w:tr>
      <w:tr w:rsidR="0081617D" w:rsidRPr="00FC4067" w14:paraId="1321E9B7" w14:textId="77777777" w:rsidTr="5E3A9904">
        <w:trPr>
          <w:trHeight w:val="20"/>
        </w:trPr>
        <w:tc>
          <w:tcPr>
            <w:tcW w:w="4823" w:type="dxa"/>
            <w:shd w:val="clear" w:color="auto" w:fill="auto"/>
            <w:tcMar>
              <w:top w:w="80" w:type="dxa"/>
              <w:left w:w="80" w:type="dxa"/>
              <w:bottom w:w="80" w:type="dxa"/>
              <w:right w:w="80" w:type="dxa"/>
            </w:tcMar>
            <w:vAlign w:val="center"/>
          </w:tcPr>
          <w:p w14:paraId="270C1F9C" w14:textId="77777777" w:rsidR="0081617D" w:rsidRPr="00FC4067" w:rsidRDefault="0081617D" w:rsidP="00CF0A4C">
            <w:pPr>
              <w:rPr>
                <w:lang w:val="en-US"/>
              </w:rPr>
            </w:pPr>
            <w:r w:rsidRPr="00FC4067">
              <w:rPr>
                <w:lang w:val="en-US"/>
              </w:rPr>
              <w:t>Legal</w:t>
            </w:r>
          </w:p>
        </w:tc>
        <w:tc>
          <w:tcPr>
            <w:tcW w:w="1984" w:type="dxa"/>
            <w:shd w:val="clear" w:color="auto" w:fill="auto"/>
            <w:tcMar>
              <w:top w:w="80" w:type="dxa"/>
              <w:left w:w="80" w:type="dxa"/>
              <w:bottom w:w="80" w:type="dxa"/>
              <w:right w:w="80" w:type="dxa"/>
            </w:tcMar>
            <w:vAlign w:val="center"/>
          </w:tcPr>
          <w:p w14:paraId="172575B9" w14:textId="1E1B7C87" w:rsidR="0081617D" w:rsidRPr="00FC4067" w:rsidRDefault="00C82B06" w:rsidP="00CF0A4C">
            <w:pPr>
              <w:rPr>
                <w:lang w:val="en-US"/>
              </w:rPr>
            </w:pPr>
            <w:r w:rsidRPr="00FC4067">
              <w:rPr>
                <w:lang w:val="en-US"/>
              </w:rPr>
              <w:t>-</w:t>
            </w:r>
          </w:p>
        </w:tc>
      </w:tr>
      <w:tr w:rsidR="0081617D" w:rsidRPr="00FC4067" w14:paraId="23F7FD46" w14:textId="77777777" w:rsidTr="5E3A9904">
        <w:trPr>
          <w:trHeight w:val="20"/>
        </w:trPr>
        <w:tc>
          <w:tcPr>
            <w:tcW w:w="4823" w:type="dxa"/>
            <w:shd w:val="clear" w:color="auto" w:fill="auto"/>
            <w:tcMar>
              <w:top w:w="80" w:type="dxa"/>
              <w:left w:w="80" w:type="dxa"/>
              <w:bottom w:w="80" w:type="dxa"/>
              <w:right w:w="80" w:type="dxa"/>
            </w:tcMar>
            <w:vAlign w:val="center"/>
          </w:tcPr>
          <w:p w14:paraId="170FCB1A" w14:textId="2C18A853" w:rsidR="0081617D" w:rsidRPr="00FC4067" w:rsidRDefault="0081617D" w:rsidP="00CF0A4C">
            <w:pPr>
              <w:rPr>
                <w:lang w:val="en-US"/>
              </w:rPr>
            </w:pPr>
            <w:r w:rsidRPr="00FC4067">
              <w:rPr>
                <w:lang w:val="en-US"/>
              </w:rPr>
              <w:t xml:space="preserve">Professional and </w:t>
            </w:r>
            <w:r w:rsidR="003B58DE" w:rsidRPr="00FC4067">
              <w:rPr>
                <w:lang w:val="en-US"/>
              </w:rPr>
              <w:t>t</w:t>
            </w:r>
            <w:r w:rsidRPr="00FC4067">
              <w:rPr>
                <w:lang w:val="en-US"/>
              </w:rPr>
              <w:t>echnical</w:t>
            </w:r>
          </w:p>
        </w:tc>
        <w:tc>
          <w:tcPr>
            <w:tcW w:w="1984" w:type="dxa"/>
            <w:shd w:val="clear" w:color="auto" w:fill="auto"/>
            <w:tcMar>
              <w:top w:w="80" w:type="dxa"/>
              <w:left w:w="80" w:type="dxa"/>
              <w:bottom w:w="80" w:type="dxa"/>
              <w:right w:w="80" w:type="dxa"/>
            </w:tcMar>
            <w:vAlign w:val="center"/>
          </w:tcPr>
          <w:p w14:paraId="53EF7212" w14:textId="06181B9E" w:rsidR="0081617D" w:rsidRPr="00FC4067" w:rsidRDefault="00F30F56" w:rsidP="00CF0A4C">
            <w:pPr>
              <w:rPr>
                <w:lang w:val="en-US"/>
              </w:rPr>
            </w:pPr>
            <w:r w:rsidRPr="00FC4067">
              <w:rPr>
                <w:lang w:val="en-US"/>
              </w:rPr>
              <w:t>749,629</w:t>
            </w:r>
          </w:p>
        </w:tc>
      </w:tr>
      <w:tr w:rsidR="0081617D" w:rsidRPr="00FC4067" w14:paraId="0FE0A63A" w14:textId="77777777" w:rsidTr="5E3A9904">
        <w:trPr>
          <w:trHeight w:val="20"/>
        </w:trPr>
        <w:tc>
          <w:tcPr>
            <w:tcW w:w="4823" w:type="dxa"/>
            <w:shd w:val="clear" w:color="auto" w:fill="auto"/>
            <w:tcMar>
              <w:top w:w="80" w:type="dxa"/>
              <w:left w:w="80" w:type="dxa"/>
              <w:bottom w:w="80" w:type="dxa"/>
              <w:right w:w="80" w:type="dxa"/>
            </w:tcMar>
            <w:vAlign w:val="center"/>
          </w:tcPr>
          <w:p w14:paraId="7BBC2D02" w14:textId="77777777" w:rsidR="0081617D" w:rsidRPr="00346306" w:rsidRDefault="0081617D" w:rsidP="001A0FEB">
            <w:pPr>
              <w:rPr>
                <w:rFonts w:cs="MetaNormalLF-Roman"/>
                <w:b/>
                <w:lang w:val="en-US"/>
              </w:rPr>
            </w:pPr>
            <w:r w:rsidRPr="00FC4067">
              <w:rPr>
                <w:b/>
                <w:lang w:val="en-US"/>
              </w:rPr>
              <w:t>Total</w:t>
            </w:r>
          </w:p>
        </w:tc>
        <w:tc>
          <w:tcPr>
            <w:tcW w:w="1984" w:type="dxa"/>
            <w:shd w:val="clear" w:color="auto" w:fill="auto"/>
            <w:tcMar>
              <w:top w:w="80" w:type="dxa"/>
              <w:left w:w="80" w:type="dxa"/>
              <w:bottom w:w="80" w:type="dxa"/>
              <w:right w:w="80" w:type="dxa"/>
            </w:tcMar>
            <w:vAlign w:val="center"/>
          </w:tcPr>
          <w:p w14:paraId="7D17A9F9" w14:textId="6940E593" w:rsidR="0081617D" w:rsidRPr="00346306" w:rsidRDefault="00F30F56" w:rsidP="00CF0A4C">
            <w:pPr>
              <w:rPr>
                <w:rFonts w:cs="MetaNormalLF-Roman"/>
                <w:b/>
                <w:lang w:val="en-US"/>
              </w:rPr>
            </w:pPr>
            <w:r w:rsidRPr="00FC4067">
              <w:rPr>
                <w:b/>
                <w:lang w:val="en-US"/>
              </w:rPr>
              <w:t>2,669,778</w:t>
            </w:r>
          </w:p>
        </w:tc>
      </w:tr>
    </w:tbl>
    <w:p w14:paraId="3855C0C9" w14:textId="77777777" w:rsidR="0081617D" w:rsidRPr="00346306" w:rsidRDefault="0081617D" w:rsidP="0004270E">
      <w:pPr>
        <w:pStyle w:val="Heading2"/>
        <w:rPr>
          <w:rStyle w:val="bold0"/>
          <w:rFonts w:asciiTheme="minorHAnsi" w:hAnsiTheme="minorHAnsi"/>
        </w:rPr>
      </w:pPr>
      <w:bookmarkStart w:id="79" w:name="_Toc494984651"/>
      <w:r w:rsidRPr="00FC4067">
        <w:rPr>
          <w:rStyle w:val="bold0"/>
          <w:rFonts w:asciiTheme="minorHAnsi" w:hAnsiTheme="minorHAnsi"/>
        </w:rPr>
        <w:t>Queensland Languages Service Policy</w:t>
      </w:r>
      <w:bookmarkEnd w:id="79"/>
    </w:p>
    <w:p w14:paraId="4CD19DF5" w14:textId="1DAE86F9" w:rsidR="0081617D" w:rsidRPr="00FC4067" w:rsidRDefault="0081617D" w:rsidP="00CF0A4C">
      <w:r w:rsidRPr="00FC4067">
        <w:t xml:space="preserve">The Policy requires Queensland Government agencies to use qualified interpreters and translators accredited through the National Accreditation Authority for Translating and </w:t>
      </w:r>
      <w:r w:rsidR="007C21BA" w:rsidRPr="00FC4067">
        <w:t>Interpreters</w:t>
      </w:r>
      <w:r w:rsidRPr="00FC406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50"/>
        <w:gridCol w:w="1950"/>
        <w:gridCol w:w="2643"/>
        <w:gridCol w:w="2477"/>
      </w:tblGrid>
      <w:tr w:rsidR="0081617D" w:rsidRPr="00FC4067" w14:paraId="7965D543" w14:textId="77777777" w:rsidTr="5E3A9904">
        <w:trPr>
          <w:trHeight w:val="930"/>
        </w:trPr>
        <w:tc>
          <w:tcPr>
            <w:tcW w:w="1081" w:type="pct"/>
            <w:shd w:val="clear" w:color="auto" w:fill="BFBFBF" w:themeFill="background1" w:themeFillShade="BF"/>
            <w:tcMar>
              <w:top w:w="80" w:type="dxa"/>
              <w:left w:w="80" w:type="dxa"/>
              <w:bottom w:w="80" w:type="dxa"/>
              <w:right w:w="80" w:type="dxa"/>
            </w:tcMar>
            <w:vAlign w:val="center"/>
          </w:tcPr>
          <w:p w14:paraId="20A5B006" w14:textId="77777777" w:rsidR="0081617D" w:rsidRPr="00346306" w:rsidRDefault="0081617D" w:rsidP="00CF0A4C">
            <w:pPr>
              <w:rPr>
                <w:rFonts w:cs="MetaNormalLF-Roman"/>
                <w:b/>
                <w:lang w:val="en-US"/>
              </w:rPr>
            </w:pPr>
            <w:r w:rsidRPr="00FC4067">
              <w:rPr>
                <w:b/>
                <w:lang w:val="en-US"/>
              </w:rPr>
              <w:t>Queensland Language Services Policy measures</w:t>
            </w:r>
          </w:p>
        </w:tc>
        <w:tc>
          <w:tcPr>
            <w:tcW w:w="1081" w:type="pct"/>
            <w:shd w:val="clear" w:color="auto" w:fill="BFBFBF" w:themeFill="background1" w:themeFillShade="BF"/>
            <w:tcMar>
              <w:top w:w="80" w:type="dxa"/>
              <w:left w:w="80" w:type="dxa"/>
              <w:bottom w:w="80" w:type="dxa"/>
              <w:right w:w="80" w:type="dxa"/>
            </w:tcMar>
            <w:vAlign w:val="center"/>
          </w:tcPr>
          <w:p w14:paraId="0F5E9EDD" w14:textId="77777777" w:rsidR="0081617D" w:rsidRPr="00346306" w:rsidRDefault="0081617D" w:rsidP="00CF0A4C">
            <w:pPr>
              <w:rPr>
                <w:rFonts w:cs="MetaNormalLF-Roman"/>
                <w:b/>
                <w:lang w:val="en-US"/>
              </w:rPr>
            </w:pPr>
            <w:r w:rsidRPr="00FC4067">
              <w:rPr>
                <w:b/>
                <w:lang w:val="en-US"/>
              </w:rPr>
              <w:t xml:space="preserve">Percentage of clients that required language support for the year </w:t>
            </w:r>
          </w:p>
        </w:tc>
        <w:tc>
          <w:tcPr>
            <w:tcW w:w="1465" w:type="pct"/>
            <w:shd w:val="clear" w:color="auto" w:fill="BFBFBF" w:themeFill="background1" w:themeFillShade="BF"/>
            <w:tcMar>
              <w:top w:w="80" w:type="dxa"/>
              <w:left w:w="80" w:type="dxa"/>
              <w:bottom w:w="80" w:type="dxa"/>
              <w:right w:w="80" w:type="dxa"/>
            </w:tcMar>
            <w:vAlign w:val="center"/>
          </w:tcPr>
          <w:p w14:paraId="3C013F1B" w14:textId="77777777" w:rsidR="0081617D" w:rsidRPr="00346306" w:rsidRDefault="0081617D" w:rsidP="00CF0A4C">
            <w:pPr>
              <w:rPr>
                <w:rFonts w:cs="MetaNormalLF-Roman"/>
                <w:b/>
                <w:lang w:val="en-US"/>
              </w:rPr>
            </w:pPr>
            <w:r w:rsidRPr="00FC4067">
              <w:rPr>
                <w:b/>
                <w:lang w:val="en-US"/>
              </w:rPr>
              <w:t>Amount spent annually on interpreters engaged by agencies</w:t>
            </w:r>
          </w:p>
        </w:tc>
        <w:tc>
          <w:tcPr>
            <w:tcW w:w="1374" w:type="pct"/>
            <w:shd w:val="clear" w:color="auto" w:fill="BFBFBF" w:themeFill="background1" w:themeFillShade="BF"/>
            <w:tcMar>
              <w:top w:w="80" w:type="dxa"/>
              <w:left w:w="80" w:type="dxa"/>
              <w:bottom w:w="80" w:type="dxa"/>
              <w:right w:w="80" w:type="dxa"/>
            </w:tcMar>
            <w:vAlign w:val="center"/>
          </w:tcPr>
          <w:p w14:paraId="16DEB8D7" w14:textId="77777777" w:rsidR="0081617D" w:rsidRPr="00346306" w:rsidRDefault="0081617D" w:rsidP="00CF0A4C">
            <w:pPr>
              <w:rPr>
                <w:rFonts w:cs="MetaNormalLF-Roman"/>
                <w:b/>
                <w:lang w:val="en-US"/>
              </w:rPr>
            </w:pPr>
            <w:r w:rsidRPr="00FC4067">
              <w:rPr>
                <w:b/>
                <w:lang w:val="en-US"/>
              </w:rPr>
              <w:t>Number of occasions interpreters are engaged annually by the agency</w:t>
            </w:r>
          </w:p>
        </w:tc>
      </w:tr>
      <w:tr w:rsidR="00F91DF9" w:rsidRPr="00FC4067" w14:paraId="0557C05A" w14:textId="77777777" w:rsidTr="5E3A9904">
        <w:trPr>
          <w:trHeight w:val="925"/>
        </w:trPr>
        <w:tc>
          <w:tcPr>
            <w:tcW w:w="1081" w:type="pct"/>
            <w:shd w:val="clear" w:color="auto" w:fill="auto"/>
            <w:tcMar>
              <w:top w:w="80" w:type="dxa"/>
              <w:left w:w="80" w:type="dxa"/>
              <w:bottom w:w="80" w:type="dxa"/>
              <w:right w:w="80" w:type="dxa"/>
            </w:tcMar>
            <w:vAlign w:val="center"/>
          </w:tcPr>
          <w:p w14:paraId="52B35E47" w14:textId="0FE0BF66" w:rsidR="0081617D" w:rsidRPr="00FC4067" w:rsidRDefault="0081617D" w:rsidP="00CF0A4C">
            <w:r w:rsidRPr="00FC4067">
              <w:t>201</w:t>
            </w:r>
            <w:r w:rsidR="00E52000" w:rsidRPr="00FC4067">
              <w:t>6</w:t>
            </w:r>
            <w:r w:rsidRPr="00FC4067">
              <w:t>–1</w:t>
            </w:r>
            <w:r w:rsidR="00E52000" w:rsidRPr="00FC4067">
              <w:t>7</w:t>
            </w:r>
            <w:r w:rsidRPr="00FC4067">
              <w:t xml:space="preserve"> result</w:t>
            </w:r>
          </w:p>
        </w:tc>
        <w:tc>
          <w:tcPr>
            <w:tcW w:w="1081" w:type="pct"/>
            <w:shd w:val="clear" w:color="auto" w:fill="auto"/>
            <w:tcMar>
              <w:top w:w="80" w:type="dxa"/>
              <w:left w:w="80" w:type="dxa"/>
              <w:bottom w:w="80" w:type="dxa"/>
              <w:right w:w="80" w:type="dxa"/>
            </w:tcMar>
            <w:vAlign w:val="center"/>
          </w:tcPr>
          <w:p w14:paraId="4634BC35" w14:textId="77777777" w:rsidR="0081617D" w:rsidRPr="00FC4067" w:rsidRDefault="0081617D" w:rsidP="00CF0A4C">
            <w:r w:rsidRPr="00FC4067">
              <w:t>Data is not available for this measure</w:t>
            </w:r>
          </w:p>
        </w:tc>
        <w:tc>
          <w:tcPr>
            <w:tcW w:w="1465" w:type="pct"/>
            <w:shd w:val="clear" w:color="auto" w:fill="auto"/>
            <w:tcMar>
              <w:top w:w="80" w:type="dxa"/>
              <w:left w:w="80" w:type="dxa"/>
              <w:bottom w:w="80" w:type="dxa"/>
              <w:right w:w="80" w:type="dxa"/>
            </w:tcMar>
            <w:vAlign w:val="center"/>
          </w:tcPr>
          <w:p w14:paraId="7025251A" w14:textId="503F08C1" w:rsidR="0081617D" w:rsidRPr="00FC4067" w:rsidRDefault="0081617D" w:rsidP="00CF0A4C">
            <w:r w:rsidRPr="00FC4067">
              <w:t>$1</w:t>
            </w:r>
            <w:r w:rsidR="00E52000" w:rsidRPr="00FC4067">
              <w:t>91</w:t>
            </w:r>
            <w:r w:rsidRPr="00FC4067">
              <w:t>,</w:t>
            </w:r>
            <w:r w:rsidR="00E52000" w:rsidRPr="00FC4067">
              <w:t>0</w:t>
            </w:r>
            <w:r w:rsidRPr="00FC4067">
              <w:t>9</w:t>
            </w:r>
            <w:r w:rsidR="003F2F31" w:rsidRPr="00FC4067">
              <w:t>6</w:t>
            </w:r>
            <w:r w:rsidRPr="00FC4067">
              <w:br/>
            </w:r>
          </w:p>
        </w:tc>
        <w:tc>
          <w:tcPr>
            <w:tcW w:w="1374" w:type="pct"/>
            <w:shd w:val="clear" w:color="auto" w:fill="auto"/>
            <w:tcMar>
              <w:top w:w="80" w:type="dxa"/>
              <w:left w:w="80" w:type="dxa"/>
              <w:bottom w:w="80" w:type="dxa"/>
              <w:right w:w="80" w:type="dxa"/>
            </w:tcMar>
            <w:vAlign w:val="center"/>
          </w:tcPr>
          <w:p w14:paraId="5C0D4D35" w14:textId="6177044D" w:rsidR="0081617D" w:rsidRPr="00FC4067" w:rsidRDefault="00E52000" w:rsidP="00CF0A4C">
            <w:r w:rsidRPr="00FC4067">
              <w:t>3,908</w:t>
            </w:r>
          </w:p>
        </w:tc>
      </w:tr>
    </w:tbl>
    <w:p w14:paraId="5B7D4571" w14:textId="77777777" w:rsidR="00D734C5" w:rsidRDefault="00D734C5" w:rsidP="00CF0A4C"/>
    <w:p w14:paraId="3E623D48" w14:textId="698C6DAF" w:rsidR="00D734C5" w:rsidRDefault="00D734C5" w:rsidP="00CF0A4C">
      <w:r>
        <w:t>This information can be found at http://data.qld.gov.au</w:t>
      </w:r>
    </w:p>
    <w:p w14:paraId="127AE4DC" w14:textId="4BD17AD6" w:rsidR="0081617D" w:rsidRPr="00FC4067" w:rsidRDefault="0081617D" w:rsidP="00CF0A4C">
      <w:r w:rsidRPr="00FC4067">
        <w:br w:type="page"/>
      </w:r>
    </w:p>
    <w:p w14:paraId="1B2D3054" w14:textId="77777777" w:rsidR="00F91DF9" w:rsidRPr="00FC4067" w:rsidRDefault="0081617D" w:rsidP="005D3ADE">
      <w:pPr>
        <w:pStyle w:val="Heading1"/>
      </w:pPr>
      <w:bookmarkStart w:id="80" w:name="_Toc464823688"/>
      <w:bookmarkStart w:id="81" w:name="_Toc494984652"/>
      <w:r w:rsidRPr="00FC4067">
        <w:rPr>
          <w:rStyle w:val="bold0"/>
          <w:rFonts w:ascii="Arial" w:hAnsi="Arial" w:cstheme="majorBidi"/>
        </w:rPr>
        <w:lastRenderedPageBreak/>
        <w:t>Service Centre Locations</w:t>
      </w:r>
      <w:bookmarkStart w:id="82" w:name="_Toc464823689"/>
      <w:bookmarkEnd w:id="80"/>
      <w:bookmarkEnd w:id="81"/>
    </w:p>
    <w:p w14:paraId="08DF0C7B" w14:textId="3F763DDE" w:rsidR="00836AF7" w:rsidRPr="00FC4067" w:rsidRDefault="002F0A6A" w:rsidP="0004270E">
      <w:pPr>
        <w:pStyle w:val="Heading2"/>
      </w:pPr>
      <w:bookmarkStart w:id="83" w:name="_Toc494984653"/>
      <w:bookmarkStart w:id="84" w:name="_Toc464823690"/>
      <w:bookmarkEnd w:id="82"/>
      <w:r>
        <w:t>Department of Housing and P</w:t>
      </w:r>
      <w:r w:rsidRPr="00FC4067">
        <w:t xml:space="preserve">ublic </w:t>
      </w:r>
      <w:r>
        <w:t>W</w:t>
      </w:r>
      <w:r w:rsidRPr="00FC4067">
        <w:t>orks</w:t>
      </w:r>
      <w:bookmarkEnd w:id="83"/>
    </w:p>
    <w:p w14:paraId="6FEE7FE1" w14:textId="5D3718A8" w:rsidR="00836AF7" w:rsidRPr="00BB52E1" w:rsidRDefault="008A5C68" w:rsidP="00BB52E1">
      <w:pPr>
        <w:pStyle w:val="Heading3"/>
      </w:pPr>
      <w:r w:rsidRPr="00BB52E1">
        <w:t xml:space="preserve">Head </w:t>
      </w:r>
      <w:r w:rsidR="00262886" w:rsidRPr="00BB52E1">
        <w:t>O</w:t>
      </w:r>
      <w:r w:rsidR="00836AF7" w:rsidRPr="00BB52E1">
        <w:t>ffice</w:t>
      </w:r>
    </w:p>
    <w:p w14:paraId="22352B90" w14:textId="040001B1" w:rsidR="008A5C68" w:rsidRPr="005B7752" w:rsidRDefault="005B7752" w:rsidP="00134A67">
      <w:pPr>
        <w:pStyle w:val="Officelocationstyle"/>
        <w:rPr>
          <w:rStyle w:val="bold0"/>
          <w:rFonts w:ascii="Arial" w:hAnsi="Arial" w:cstheme="minorBidi"/>
        </w:rPr>
      </w:pPr>
      <w:r w:rsidRPr="005B7752">
        <w:rPr>
          <w:rStyle w:val="bold0"/>
          <w:rFonts w:ascii="Arial" w:hAnsi="Arial" w:cstheme="minorBidi"/>
        </w:rPr>
        <w:t>1 William Street</w:t>
      </w:r>
    </w:p>
    <w:p w14:paraId="370C8910" w14:textId="72A8DEC7" w:rsidR="008A5C68" w:rsidRPr="005B7752" w:rsidRDefault="008A5C68" w:rsidP="00D41D95">
      <w:pPr>
        <w:pStyle w:val="Officelocationstyle"/>
        <w:rPr>
          <w:rStyle w:val="bold0"/>
          <w:rFonts w:ascii="Arial" w:hAnsi="Arial" w:cstheme="minorBidi"/>
        </w:rPr>
      </w:pPr>
      <w:r w:rsidRPr="005B7752">
        <w:rPr>
          <w:rStyle w:val="bold0"/>
          <w:rFonts w:ascii="Arial" w:hAnsi="Arial" w:cstheme="minorBidi"/>
        </w:rPr>
        <w:t xml:space="preserve">Brisbane, </w:t>
      </w:r>
      <w:r w:rsidR="005B7752" w:rsidRPr="005B7752">
        <w:rPr>
          <w:rStyle w:val="bold0"/>
          <w:rFonts w:ascii="Arial" w:hAnsi="Arial" w:cstheme="minorBidi"/>
        </w:rPr>
        <w:t>Qld</w:t>
      </w:r>
      <w:r w:rsidRPr="005B7752">
        <w:rPr>
          <w:rStyle w:val="bold0"/>
          <w:rFonts w:ascii="Arial" w:hAnsi="Arial" w:cstheme="minorBidi"/>
        </w:rPr>
        <w:t xml:space="preserve"> 4000</w:t>
      </w:r>
    </w:p>
    <w:p w14:paraId="4BF778A8" w14:textId="77777777" w:rsidR="00416A2A" w:rsidRPr="005B7752" w:rsidRDefault="00416A2A">
      <w:pPr>
        <w:pStyle w:val="Officelocationstyle"/>
        <w:rPr>
          <w:rStyle w:val="bold0"/>
          <w:rFonts w:ascii="Arial" w:hAnsi="Arial" w:cstheme="minorBidi"/>
        </w:rPr>
      </w:pPr>
      <w:r w:rsidRPr="00FC4067">
        <w:rPr>
          <w:rStyle w:val="bold0"/>
          <w:rFonts w:ascii="Arial" w:hAnsi="Arial" w:cstheme="minorBidi"/>
        </w:rPr>
        <w:t>GPO Box 2457, Brisbane Qld 4001</w:t>
      </w:r>
    </w:p>
    <w:p w14:paraId="4F273003" w14:textId="6C949030" w:rsidR="00836AF7" w:rsidRPr="005B7752" w:rsidRDefault="00416A2A">
      <w:pPr>
        <w:pStyle w:val="Officelocationstyle"/>
        <w:rPr>
          <w:rStyle w:val="bold0"/>
          <w:rFonts w:ascii="Arial" w:hAnsi="Arial" w:cstheme="minorBidi"/>
        </w:rPr>
      </w:pPr>
      <w:r w:rsidRPr="00FC4067">
        <w:rPr>
          <w:rStyle w:val="bold0"/>
          <w:rFonts w:ascii="Arial" w:hAnsi="Arial" w:cstheme="minorBidi"/>
        </w:rPr>
        <w:t xml:space="preserve">Website: </w:t>
      </w:r>
      <w:hyperlink r:id="rId24" w:history="1">
        <w:r w:rsidRPr="005B7752">
          <w:rPr>
            <w:rStyle w:val="bold0"/>
            <w:rFonts w:ascii="Arial" w:hAnsi="Arial" w:cstheme="minorBidi"/>
          </w:rPr>
          <w:t>www.hpw.qld.gov.au</w:t>
        </w:r>
      </w:hyperlink>
      <w:r w:rsidRPr="00FC4067">
        <w:rPr>
          <w:rStyle w:val="bold0"/>
          <w:rFonts w:ascii="Arial" w:hAnsi="Arial" w:cstheme="minorBidi"/>
        </w:rPr>
        <w:t xml:space="preserve">  </w:t>
      </w:r>
    </w:p>
    <w:p w14:paraId="2F4B90F4" w14:textId="77777777" w:rsidR="00116547" w:rsidRPr="00FC4067" w:rsidRDefault="00116547" w:rsidP="0004270E">
      <w:pPr>
        <w:pStyle w:val="Heading2"/>
        <w:rPr>
          <w:rStyle w:val="bold0"/>
          <w:rFonts w:asciiTheme="majorHAnsi" w:hAnsiTheme="majorHAnsi"/>
        </w:rPr>
        <w:sectPr w:rsidR="00116547" w:rsidRPr="00FC4067" w:rsidSect="00F91DF9">
          <w:type w:val="continuous"/>
          <w:pgSz w:w="11910" w:h="16840"/>
          <w:pgMar w:top="1440" w:right="1440" w:bottom="1440" w:left="1440" w:header="241" w:footer="478" w:gutter="0"/>
          <w:cols w:space="454"/>
        </w:sectPr>
      </w:pPr>
    </w:p>
    <w:p w14:paraId="6450DA0F" w14:textId="3B3A13F3" w:rsidR="003A068E" w:rsidRPr="00FC4067" w:rsidRDefault="003A068E" w:rsidP="0004270E">
      <w:pPr>
        <w:pStyle w:val="Heading2"/>
        <w:rPr>
          <w:lang w:val="en-US" w:eastAsia="en-AU"/>
        </w:rPr>
      </w:pPr>
      <w:bookmarkStart w:id="85" w:name="_Toc494984654"/>
      <w:r w:rsidRPr="00FC4067">
        <w:rPr>
          <w:lang w:val="en-US" w:eastAsia="en-AU"/>
        </w:rPr>
        <w:t>Building and Asset Services Office Locations</w:t>
      </w:r>
      <w:bookmarkEnd w:id="84"/>
      <w:bookmarkEnd w:id="85"/>
    </w:p>
    <w:p w14:paraId="04D7E26F" w14:textId="729EB235" w:rsidR="00262886" w:rsidRPr="00FC4067" w:rsidRDefault="00262886" w:rsidP="003A068E">
      <w:r w:rsidRPr="00FC4067">
        <w:t>The regional offices are supported by a network of district offices and depots across the state</w:t>
      </w:r>
    </w:p>
    <w:p w14:paraId="691661A3" w14:textId="77777777" w:rsidR="00262886" w:rsidRPr="00FC4067" w:rsidRDefault="00262886" w:rsidP="00792F33">
      <w:pPr>
        <w:pStyle w:val="Heading3"/>
      </w:pPr>
      <w:r w:rsidRPr="00FC4067">
        <w:t>Building and Asset Services</w:t>
      </w:r>
    </w:p>
    <w:p w14:paraId="1AAC9597" w14:textId="09B9FF86" w:rsidR="00262886" w:rsidRPr="00FC4067" w:rsidRDefault="00262886" w:rsidP="00CF0A4C">
      <w:pPr>
        <w:rPr>
          <w:lang w:val="en-US" w:eastAsia="en-AU"/>
        </w:rPr>
      </w:pPr>
      <w:r w:rsidRPr="00FC4067">
        <w:rPr>
          <w:lang w:val="en-US" w:eastAsia="en-AU"/>
        </w:rPr>
        <w:t xml:space="preserve">Level </w:t>
      </w:r>
      <w:r w:rsidR="00DB18C8" w:rsidRPr="00FC4067">
        <w:rPr>
          <w:lang w:val="en-US" w:eastAsia="en-AU"/>
        </w:rPr>
        <w:t>5</w:t>
      </w:r>
      <w:r w:rsidRPr="00FC4067">
        <w:rPr>
          <w:lang w:val="en-US" w:eastAsia="en-AU"/>
        </w:rPr>
        <w:t>, AM60, 60 Albert Street, Brisbane Qld 4000</w:t>
      </w:r>
      <w:r w:rsidRPr="00FC4067">
        <w:rPr>
          <w:bCs/>
          <w:lang w:val="en-US" w:eastAsia="en-AU"/>
        </w:rPr>
        <w:br/>
      </w:r>
      <w:r w:rsidRPr="00FC4067">
        <w:rPr>
          <w:lang w:val="en-US" w:eastAsia="en-AU"/>
        </w:rPr>
        <w:t xml:space="preserve">GPO Box 2937, </w:t>
      </w:r>
      <w:r w:rsidRPr="00FC4067">
        <w:rPr>
          <w:bCs/>
          <w:lang w:val="en-US" w:eastAsia="en-AU"/>
        </w:rPr>
        <w:br/>
      </w:r>
      <w:r w:rsidRPr="00FC4067">
        <w:rPr>
          <w:lang w:val="en-US" w:eastAsia="en-AU"/>
        </w:rPr>
        <w:t>Brisbane Qld 4001</w:t>
      </w:r>
      <w:r w:rsidRPr="00FC4067">
        <w:rPr>
          <w:bCs/>
          <w:lang w:val="en-US" w:eastAsia="en-AU"/>
        </w:rPr>
        <w:br/>
      </w:r>
      <w:r w:rsidRPr="00FC4067">
        <w:rPr>
          <w:lang w:val="en-US" w:eastAsia="en-AU"/>
        </w:rPr>
        <w:t xml:space="preserve">Phone: </w:t>
      </w:r>
      <w:r w:rsidR="001E3FE8">
        <w:rPr>
          <w:lang w:val="en-US" w:eastAsia="en-AU"/>
        </w:rPr>
        <w:t xml:space="preserve">07 </w:t>
      </w:r>
      <w:r w:rsidRPr="00FC4067">
        <w:rPr>
          <w:lang w:val="en-US" w:eastAsia="en-AU"/>
        </w:rPr>
        <w:t>3008 3300</w:t>
      </w:r>
      <w:r w:rsidRPr="00FC4067">
        <w:rPr>
          <w:bCs/>
          <w:lang w:val="en-US" w:eastAsia="en-AU"/>
        </w:rPr>
        <w:br/>
      </w:r>
      <w:r w:rsidRPr="00FC4067">
        <w:rPr>
          <w:lang w:val="en-US" w:eastAsia="en-AU"/>
        </w:rPr>
        <w:t xml:space="preserve">Email: </w:t>
      </w:r>
      <w:hyperlink r:id="rId25" w:history="1">
        <w:r w:rsidRPr="00FC4067">
          <w:rPr>
            <w:rStyle w:val="Hyperlink"/>
            <w:rFonts w:eastAsia="Times New Roman" w:cs="Arial"/>
            <w:lang w:val="en-US" w:eastAsia="en-AU"/>
          </w:rPr>
          <w:t>bas@hpw.qld.gov.au</w:t>
        </w:r>
      </w:hyperlink>
      <w:r w:rsidRPr="00FC4067">
        <w:rPr>
          <w:bCs/>
          <w:lang w:val="en-US" w:eastAsia="en-AU"/>
        </w:rPr>
        <w:br/>
      </w:r>
      <w:r w:rsidR="009D1D09">
        <w:rPr>
          <w:lang w:val="en-US" w:eastAsia="en-AU"/>
        </w:rPr>
        <w:t>www.</w:t>
      </w:r>
      <w:r w:rsidRPr="00FC4067">
        <w:rPr>
          <w:lang w:val="en-US" w:eastAsia="en-AU"/>
        </w:rPr>
        <w:t>hpw.qld.gov.au</w:t>
      </w:r>
    </w:p>
    <w:p w14:paraId="1EE70262" w14:textId="77777777" w:rsidR="00F91DF9" w:rsidRPr="00FC4067" w:rsidRDefault="00F91DF9" w:rsidP="00792F33">
      <w:pPr>
        <w:pStyle w:val="Heading3"/>
      </w:pPr>
      <w:r w:rsidRPr="00FC4067">
        <w:t>South East Queensland</w:t>
      </w:r>
    </w:p>
    <w:p w14:paraId="1DDDBCBC" w14:textId="77777777" w:rsidR="00262886" w:rsidRPr="00FC4067" w:rsidRDefault="00262886" w:rsidP="00824689">
      <w:pPr>
        <w:pStyle w:val="HeadingStyle3"/>
        <w:rPr>
          <w:lang w:val="en-US" w:eastAsia="en-AU"/>
        </w:rPr>
      </w:pPr>
      <w:bookmarkStart w:id="86" w:name="bris"/>
      <w:bookmarkEnd w:id="86"/>
      <w:r w:rsidRPr="00FC4067">
        <w:rPr>
          <w:lang w:val="en-US" w:eastAsia="en-AU"/>
        </w:rPr>
        <w:t>South East Queensland Regional Office</w:t>
      </w:r>
    </w:p>
    <w:p w14:paraId="5E9E4D6A" w14:textId="77777777" w:rsidR="00262886" w:rsidRPr="00FC4067" w:rsidRDefault="00262886" w:rsidP="00824689">
      <w:pPr>
        <w:pStyle w:val="Officelocationstyle"/>
        <w:rPr>
          <w:lang w:val="en-US" w:eastAsia="en-AU"/>
        </w:rPr>
      </w:pPr>
      <w:r w:rsidRPr="00FC4067">
        <w:rPr>
          <w:lang w:val="en-US" w:eastAsia="en-AU"/>
        </w:rPr>
        <w:t xml:space="preserve">45 Barrack Road </w:t>
      </w:r>
    </w:p>
    <w:p w14:paraId="7A0CCE08" w14:textId="77777777" w:rsidR="00262886" w:rsidRPr="00FC4067" w:rsidRDefault="00262886" w:rsidP="00824689">
      <w:pPr>
        <w:pStyle w:val="Officelocationstyle"/>
        <w:rPr>
          <w:lang w:val="en-US" w:eastAsia="en-AU"/>
        </w:rPr>
      </w:pPr>
      <w:r w:rsidRPr="00FC4067">
        <w:rPr>
          <w:lang w:val="en-US" w:eastAsia="en-AU"/>
        </w:rPr>
        <w:t>PO Box 626</w:t>
      </w:r>
    </w:p>
    <w:p w14:paraId="58490E6D" w14:textId="77777777" w:rsidR="00262886" w:rsidRPr="00FC4067" w:rsidRDefault="00262886" w:rsidP="00824689">
      <w:pPr>
        <w:pStyle w:val="Officelocationstyle"/>
        <w:rPr>
          <w:lang w:val="en-US" w:eastAsia="en-AU"/>
        </w:rPr>
      </w:pPr>
      <w:r w:rsidRPr="00FC4067">
        <w:rPr>
          <w:lang w:val="en-US" w:eastAsia="en-AU"/>
        </w:rPr>
        <w:t>Cannon Hill Qld 4170</w:t>
      </w:r>
    </w:p>
    <w:p w14:paraId="05BB5FD1" w14:textId="420B7B14" w:rsidR="00262886" w:rsidRPr="00FC4067" w:rsidRDefault="00262886" w:rsidP="00824689">
      <w:pPr>
        <w:pStyle w:val="Officelocationstyle"/>
        <w:rPr>
          <w:lang w:val="en-US" w:eastAsia="en-AU"/>
        </w:rPr>
      </w:pPr>
      <w:r w:rsidRPr="00FC4067">
        <w:rPr>
          <w:lang w:val="en-US" w:eastAsia="en-AU"/>
        </w:rPr>
        <w:t xml:space="preserve">Phone: </w:t>
      </w:r>
      <w:r w:rsidR="001E3FE8">
        <w:rPr>
          <w:lang w:val="en-US" w:eastAsia="en-AU"/>
        </w:rPr>
        <w:t xml:space="preserve">07 </w:t>
      </w:r>
      <w:r w:rsidRPr="00FC4067">
        <w:rPr>
          <w:lang w:val="en-US" w:eastAsia="en-AU"/>
        </w:rPr>
        <w:t>3008 2116</w:t>
      </w:r>
    </w:p>
    <w:p w14:paraId="00577DD7" w14:textId="7AC94357" w:rsidR="00262886" w:rsidRPr="00FC4067" w:rsidRDefault="00262886" w:rsidP="00824689">
      <w:pPr>
        <w:pStyle w:val="Officelocationstyle"/>
        <w:rPr>
          <w:lang w:val="en-US" w:eastAsia="en-AU"/>
        </w:rPr>
      </w:pPr>
      <w:r w:rsidRPr="00FC4067">
        <w:rPr>
          <w:lang w:val="en-US" w:eastAsia="en-AU"/>
        </w:rPr>
        <w:t xml:space="preserve">Fax: </w:t>
      </w:r>
      <w:r w:rsidR="001E3FE8">
        <w:rPr>
          <w:lang w:val="en-US" w:eastAsia="en-AU"/>
        </w:rPr>
        <w:t xml:space="preserve">07 </w:t>
      </w:r>
      <w:r w:rsidRPr="00FC4067">
        <w:rPr>
          <w:lang w:val="en-US" w:eastAsia="en-AU"/>
        </w:rPr>
        <w:t>3906 1722</w:t>
      </w:r>
    </w:p>
    <w:p w14:paraId="1F09ABFC" w14:textId="77777777" w:rsidR="00F91DF9" w:rsidRPr="00FC4067" w:rsidRDefault="00F91DF9" w:rsidP="00824689">
      <w:pPr>
        <w:pStyle w:val="Officelocationstyle"/>
        <w:rPr>
          <w:lang w:val="en-US" w:eastAsia="en-AU"/>
        </w:rPr>
      </w:pPr>
      <w:r w:rsidRPr="00FC4067">
        <w:rPr>
          <w:lang w:val="en-US" w:eastAsia="en-AU"/>
        </w:rPr>
        <w:t> </w:t>
      </w:r>
    </w:p>
    <w:p w14:paraId="46A3DC84" w14:textId="4D27A2F3" w:rsidR="00262886" w:rsidRPr="00346306" w:rsidRDefault="00262886" w:rsidP="00824689">
      <w:pPr>
        <w:pStyle w:val="Officelocationstyle"/>
        <w:rPr>
          <w:b/>
          <w:u w:val="single"/>
          <w:lang w:val="en-US" w:eastAsia="en-AU"/>
        </w:rPr>
      </w:pPr>
      <w:r w:rsidRPr="00FC4067">
        <w:rPr>
          <w:b/>
          <w:u w:val="single"/>
          <w:lang w:val="en-US" w:eastAsia="en-AU"/>
        </w:rPr>
        <w:t>District Offices</w:t>
      </w:r>
    </w:p>
    <w:p w14:paraId="335724C4" w14:textId="77777777" w:rsidR="005B4ADB" w:rsidRPr="00FC4067" w:rsidRDefault="005B4ADB" w:rsidP="00824689">
      <w:pPr>
        <w:pStyle w:val="Officelocationstyle"/>
        <w:rPr>
          <w:b/>
          <w:u w:val="single"/>
          <w:lang w:val="en-US" w:eastAsia="en-AU"/>
        </w:rPr>
      </w:pPr>
    </w:p>
    <w:p w14:paraId="174F80C2" w14:textId="77777777" w:rsidR="00262886" w:rsidRPr="00346306" w:rsidRDefault="00262886" w:rsidP="00824689">
      <w:pPr>
        <w:pStyle w:val="Officelocationstyle"/>
        <w:rPr>
          <w:b/>
          <w:lang w:val="en-US" w:eastAsia="en-AU"/>
        </w:rPr>
      </w:pPr>
      <w:r w:rsidRPr="00FC4067">
        <w:rPr>
          <w:b/>
          <w:lang w:val="en-US" w:eastAsia="en-AU"/>
        </w:rPr>
        <w:t xml:space="preserve">South East Queensland </w:t>
      </w:r>
    </w:p>
    <w:p w14:paraId="600B4CEB" w14:textId="77777777" w:rsidR="00262886" w:rsidRPr="00FC4067" w:rsidRDefault="00262886" w:rsidP="00824689">
      <w:pPr>
        <w:pStyle w:val="Officelocationstyle"/>
        <w:rPr>
          <w:lang w:val="en-US" w:eastAsia="en-AU"/>
        </w:rPr>
      </w:pPr>
      <w:r w:rsidRPr="00FC4067">
        <w:rPr>
          <w:lang w:val="en-US" w:eastAsia="en-AU"/>
        </w:rPr>
        <w:t>Level 1, 19 Corporate Drive</w:t>
      </w:r>
    </w:p>
    <w:p w14:paraId="2C92C749" w14:textId="77777777" w:rsidR="00262886" w:rsidRPr="00FC4067" w:rsidRDefault="00262886" w:rsidP="00824689">
      <w:pPr>
        <w:pStyle w:val="Officelocationstyle"/>
        <w:rPr>
          <w:lang w:val="en-US" w:eastAsia="en-AU"/>
        </w:rPr>
      </w:pPr>
      <w:r w:rsidRPr="00FC4067">
        <w:rPr>
          <w:lang w:val="en-US" w:eastAsia="en-AU"/>
        </w:rPr>
        <w:t>PO Box 626</w:t>
      </w:r>
    </w:p>
    <w:p w14:paraId="1E7BC02F" w14:textId="77777777" w:rsidR="00490134" w:rsidRPr="00FC4067" w:rsidRDefault="00262886" w:rsidP="00824689">
      <w:pPr>
        <w:pStyle w:val="Officelocationstyle"/>
        <w:rPr>
          <w:lang w:val="en-US" w:eastAsia="en-AU"/>
        </w:rPr>
      </w:pPr>
      <w:r w:rsidRPr="00FC4067">
        <w:rPr>
          <w:lang w:val="en-US" w:eastAsia="en-AU"/>
        </w:rPr>
        <w:t>Cannon Hill Qld 4170</w:t>
      </w:r>
    </w:p>
    <w:p w14:paraId="4FE15C39" w14:textId="2B8B6A5A" w:rsidR="00262886" w:rsidRPr="00FC4067" w:rsidRDefault="00262886" w:rsidP="00824689">
      <w:pPr>
        <w:pStyle w:val="Officelocationstyle"/>
        <w:rPr>
          <w:lang w:val="en-US" w:eastAsia="en-AU"/>
        </w:rPr>
      </w:pPr>
      <w:r w:rsidRPr="00FC4067">
        <w:rPr>
          <w:lang w:val="en-US" w:eastAsia="en-AU"/>
        </w:rPr>
        <w:t>Phone: 1300 650 917</w:t>
      </w:r>
      <w:r w:rsidRPr="00FC4067">
        <w:rPr>
          <w:lang w:val="en-US" w:eastAsia="en-AU"/>
        </w:rPr>
        <w:br/>
      </w:r>
    </w:p>
    <w:p w14:paraId="139BD438" w14:textId="684D2BE3" w:rsidR="00262886" w:rsidRPr="00346306" w:rsidRDefault="00262886" w:rsidP="00824689">
      <w:pPr>
        <w:pStyle w:val="Officelocationstyle"/>
        <w:rPr>
          <w:b/>
          <w:lang w:val="en-US" w:eastAsia="en-AU"/>
        </w:rPr>
      </w:pPr>
      <w:r w:rsidRPr="00FC4067">
        <w:rPr>
          <w:b/>
          <w:lang w:val="en-US" w:eastAsia="en-AU"/>
        </w:rPr>
        <w:t xml:space="preserve">Sunshine Coast </w:t>
      </w:r>
    </w:p>
    <w:p w14:paraId="5C293631" w14:textId="77777777" w:rsidR="00262886" w:rsidRPr="00FC4067" w:rsidRDefault="00262886" w:rsidP="00824689">
      <w:pPr>
        <w:pStyle w:val="Officelocationstyle"/>
        <w:rPr>
          <w:lang w:val="en-US" w:eastAsia="en-AU"/>
        </w:rPr>
      </w:pPr>
      <w:r w:rsidRPr="00FC4067">
        <w:rPr>
          <w:lang w:val="en-US" w:eastAsia="en-AU"/>
        </w:rPr>
        <w:t>14-28 Lee Street</w:t>
      </w:r>
    </w:p>
    <w:p w14:paraId="3410EB70" w14:textId="77777777" w:rsidR="00262886" w:rsidRPr="00FC4067" w:rsidRDefault="00262886" w:rsidP="00824689">
      <w:pPr>
        <w:pStyle w:val="Officelocationstyle"/>
        <w:rPr>
          <w:lang w:val="en-US" w:eastAsia="en-AU"/>
        </w:rPr>
      </w:pPr>
      <w:r w:rsidRPr="00FC4067">
        <w:rPr>
          <w:lang w:val="en-US" w:eastAsia="en-AU"/>
        </w:rPr>
        <w:t>PO Box 1680</w:t>
      </w:r>
    </w:p>
    <w:p w14:paraId="08250846" w14:textId="77777777" w:rsidR="00262886" w:rsidRPr="00FC4067" w:rsidRDefault="00262886" w:rsidP="00824689">
      <w:pPr>
        <w:pStyle w:val="Officelocationstyle"/>
        <w:rPr>
          <w:lang w:val="en-US" w:eastAsia="en-AU"/>
        </w:rPr>
      </w:pPr>
      <w:r w:rsidRPr="00FC4067">
        <w:rPr>
          <w:lang w:val="en-US" w:eastAsia="en-AU"/>
        </w:rPr>
        <w:t>Caboolture Qld 4510</w:t>
      </w:r>
    </w:p>
    <w:p w14:paraId="0FBB1E14" w14:textId="4F09B8AD" w:rsidR="00262886" w:rsidRPr="00FC4067" w:rsidRDefault="00262886" w:rsidP="00824689">
      <w:pPr>
        <w:pStyle w:val="Officelocationstyle"/>
        <w:rPr>
          <w:lang w:val="en-US" w:eastAsia="en-AU"/>
        </w:rPr>
      </w:pPr>
      <w:r w:rsidRPr="00FC4067">
        <w:rPr>
          <w:lang w:val="en-US" w:eastAsia="en-AU"/>
        </w:rPr>
        <w:t xml:space="preserve">Phone: </w:t>
      </w:r>
      <w:r w:rsidR="000A7F04">
        <w:rPr>
          <w:lang w:val="en-US" w:eastAsia="en-AU"/>
        </w:rPr>
        <w:t xml:space="preserve">07 </w:t>
      </w:r>
      <w:r w:rsidRPr="00FC4067">
        <w:rPr>
          <w:lang w:val="en-US" w:eastAsia="en-AU"/>
        </w:rPr>
        <w:t>5432 0600</w:t>
      </w:r>
    </w:p>
    <w:p w14:paraId="187DA508" w14:textId="319D710C" w:rsidR="00262886" w:rsidRPr="00FC4067" w:rsidRDefault="00262886" w:rsidP="00824689">
      <w:pPr>
        <w:pStyle w:val="Officelocationstyle"/>
        <w:rPr>
          <w:lang w:val="en-US" w:eastAsia="en-AU"/>
        </w:rPr>
      </w:pPr>
      <w:r w:rsidRPr="00FC4067">
        <w:rPr>
          <w:lang w:val="en-US" w:eastAsia="en-AU"/>
        </w:rPr>
        <w:t xml:space="preserve">Fax: </w:t>
      </w:r>
      <w:r w:rsidR="000A7F04">
        <w:rPr>
          <w:lang w:val="en-US" w:eastAsia="en-AU"/>
        </w:rPr>
        <w:t xml:space="preserve">07 </w:t>
      </w:r>
      <w:r w:rsidRPr="00FC4067">
        <w:rPr>
          <w:lang w:val="en-US" w:eastAsia="en-AU"/>
        </w:rPr>
        <w:t>5420 2050</w:t>
      </w:r>
    </w:p>
    <w:p w14:paraId="1B139620" w14:textId="77777777" w:rsidR="00262886" w:rsidRPr="00FC4067" w:rsidRDefault="00262886" w:rsidP="00824689">
      <w:pPr>
        <w:pStyle w:val="Officelocationstyle"/>
        <w:rPr>
          <w:lang w:val="en-US" w:eastAsia="en-AU"/>
        </w:rPr>
      </w:pPr>
    </w:p>
    <w:p w14:paraId="59730890" w14:textId="77777777" w:rsidR="00262886" w:rsidRPr="00346306" w:rsidRDefault="00262886" w:rsidP="00824689">
      <w:pPr>
        <w:pStyle w:val="Officelocationstyle"/>
        <w:rPr>
          <w:b/>
          <w:lang w:val="en-US" w:eastAsia="en-AU"/>
        </w:rPr>
      </w:pPr>
      <w:r w:rsidRPr="00FC4067">
        <w:rPr>
          <w:b/>
          <w:lang w:val="en-US" w:eastAsia="en-AU"/>
        </w:rPr>
        <w:t xml:space="preserve">South Coast </w:t>
      </w:r>
    </w:p>
    <w:p w14:paraId="2D1C6C55" w14:textId="77777777" w:rsidR="00262886" w:rsidRPr="00FC4067" w:rsidRDefault="00262886" w:rsidP="00824689">
      <w:pPr>
        <w:pStyle w:val="Officelocationstyle"/>
        <w:rPr>
          <w:lang w:val="en-US" w:eastAsia="en-AU"/>
        </w:rPr>
      </w:pPr>
      <w:r w:rsidRPr="00FC4067">
        <w:rPr>
          <w:lang w:val="en-US" w:eastAsia="en-AU"/>
        </w:rPr>
        <w:t>Level 3 Eastside Robina</w:t>
      </w:r>
    </w:p>
    <w:p w14:paraId="3674C18F" w14:textId="77777777" w:rsidR="00262886" w:rsidRPr="00FC4067" w:rsidRDefault="00262886" w:rsidP="00824689">
      <w:pPr>
        <w:pStyle w:val="Officelocationstyle"/>
        <w:rPr>
          <w:lang w:val="en-US" w:eastAsia="en-AU"/>
        </w:rPr>
      </w:pPr>
      <w:r w:rsidRPr="00FC4067">
        <w:rPr>
          <w:lang w:val="en-US" w:eastAsia="en-AU"/>
        </w:rPr>
        <w:t>232 Robina Town Centre Drive</w:t>
      </w:r>
    </w:p>
    <w:p w14:paraId="38326C22" w14:textId="77777777" w:rsidR="00262886" w:rsidRPr="00FC4067" w:rsidRDefault="00262886" w:rsidP="00824689">
      <w:pPr>
        <w:pStyle w:val="Officelocationstyle"/>
        <w:rPr>
          <w:lang w:val="en-US" w:eastAsia="en-AU"/>
        </w:rPr>
      </w:pPr>
      <w:r w:rsidRPr="00FC4067">
        <w:rPr>
          <w:lang w:val="en-US" w:eastAsia="en-AU"/>
        </w:rPr>
        <w:lastRenderedPageBreak/>
        <w:t>Robina Qld 4226</w:t>
      </w:r>
    </w:p>
    <w:p w14:paraId="016B1E63" w14:textId="77777777" w:rsidR="00262886" w:rsidRPr="00FC4067" w:rsidRDefault="00262886" w:rsidP="00824689">
      <w:pPr>
        <w:pStyle w:val="Officelocationstyle"/>
        <w:rPr>
          <w:lang w:val="en-US" w:eastAsia="en-AU"/>
        </w:rPr>
      </w:pPr>
      <w:r w:rsidRPr="00FC4067">
        <w:rPr>
          <w:lang w:val="en-US" w:eastAsia="en-AU"/>
        </w:rPr>
        <w:t xml:space="preserve">PO Box 3156 </w:t>
      </w:r>
    </w:p>
    <w:p w14:paraId="05795AC4" w14:textId="77777777" w:rsidR="00262886" w:rsidRPr="00FC4067" w:rsidRDefault="00262886" w:rsidP="00824689">
      <w:pPr>
        <w:pStyle w:val="Officelocationstyle"/>
        <w:rPr>
          <w:lang w:val="en-US" w:eastAsia="en-AU"/>
        </w:rPr>
      </w:pPr>
      <w:r w:rsidRPr="00FC4067">
        <w:rPr>
          <w:lang w:val="en-US" w:eastAsia="en-AU"/>
        </w:rPr>
        <w:t xml:space="preserve">Robina Post Shop </w:t>
      </w:r>
    </w:p>
    <w:p w14:paraId="1B9BB76C" w14:textId="77777777" w:rsidR="00262886" w:rsidRPr="00FC4067" w:rsidRDefault="00262886" w:rsidP="00824689">
      <w:pPr>
        <w:pStyle w:val="Officelocationstyle"/>
        <w:rPr>
          <w:lang w:val="en-US" w:eastAsia="en-AU"/>
        </w:rPr>
      </w:pPr>
      <w:r w:rsidRPr="00FC4067">
        <w:rPr>
          <w:lang w:val="en-US" w:eastAsia="en-AU"/>
        </w:rPr>
        <w:t>Robina Town Centre QLD 4230</w:t>
      </w:r>
    </w:p>
    <w:p w14:paraId="3FD85B45" w14:textId="76370319" w:rsidR="00262886" w:rsidRPr="00FC4067" w:rsidRDefault="00262886" w:rsidP="00824689">
      <w:pPr>
        <w:pStyle w:val="Officelocationstyle"/>
        <w:rPr>
          <w:lang w:val="en-US" w:eastAsia="en-AU"/>
        </w:rPr>
      </w:pPr>
      <w:r w:rsidRPr="00FC4067">
        <w:rPr>
          <w:lang w:val="en-US" w:eastAsia="en-AU"/>
        </w:rPr>
        <w:t xml:space="preserve">Phone: </w:t>
      </w:r>
      <w:r w:rsidR="000A7F04">
        <w:rPr>
          <w:lang w:val="en-US" w:eastAsia="en-AU"/>
        </w:rPr>
        <w:t xml:space="preserve">07 </w:t>
      </w:r>
      <w:r w:rsidRPr="00FC4067">
        <w:rPr>
          <w:lang w:val="en-US" w:eastAsia="en-AU"/>
        </w:rPr>
        <w:t>5514 9400</w:t>
      </w:r>
    </w:p>
    <w:p w14:paraId="6A3246FC" w14:textId="75C440F7" w:rsidR="00262886" w:rsidRPr="00FC4067" w:rsidRDefault="00262886" w:rsidP="00824689">
      <w:pPr>
        <w:pStyle w:val="Officelocationstyle"/>
        <w:rPr>
          <w:lang w:val="en-US" w:eastAsia="en-AU"/>
        </w:rPr>
      </w:pPr>
      <w:r w:rsidRPr="00FC4067">
        <w:rPr>
          <w:lang w:val="en-US" w:eastAsia="en-AU"/>
        </w:rPr>
        <w:t>Fax:</w:t>
      </w:r>
      <w:r w:rsidR="000A7F04">
        <w:rPr>
          <w:lang w:val="en-US" w:eastAsia="en-AU"/>
        </w:rPr>
        <w:t xml:space="preserve"> 07</w:t>
      </w:r>
      <w:r w:rsidRPr="00FC4067">
        <w:rPr>
          <w:lang w:val="en-US" w:eastAsia="en-AU"/>
        </w:rPr>
        <w:t xml:space="preserve"> 5583 1943</w:t>
      </w:r>
    </w:p>
    <w:p w14:paraId="25DA1CB2" w14:textId="77777777" w:rsidR="00262886" w:rsidRPr="00FC4067" w:rsidRDefault="00262886" w:rsidP="00824689">
      <w:pPr>
        <w:pStyle w:val="Officelocationstyle"/>
        <w:rPr>
          <w:lang w:val="en-US" w:eastAsia="en-AU"/>
        </w:rPr>
      </w:pPr>
    </w:p>
    <w:p w14:paraId="3B8BA8C3" w14:textId="77777777" w:rsidR="00262886" w:rsidRPr="00346306" w:rsidRDefault="00262886" w:rsidP="00824689">
      <w:pPr>
        <w:pStyle w:val="Officelocationstyle"/>
        <w:rPr>
          <w:b/>
          <w:lang w:val="en-US" w:eastAsia="en-AU"/>
        </w:rPr>
      </w:pPr>
      <w:r w:rsidRPr="00FC4067">
        <w:rPr>
          <w:b/>
          <w:lang w:val="en-US" w:eastAsia="en-AU"/>
        </w:rPr>
        <w:t xml:space="preserve">Ipswich </w:t>
      </w:r>
    </w:p>
    <w:p w14:paraId="77D62158" w14:textId="77777777" w:rsidR="00262886" w:rsidRPr="00FC4067" w:rsidRDefault="00262886" w:rsidP="00824689">
      <w:pPr>
        <w:pStyle w:val="Officelocationstyle"/>
        <w:rPr>
          <w:lang w:val="en-US" w:eastAsia="en-AU"/>
        </w:rPr>
      </w:pPr>
      <w:r w:rsidRPr="00FC4067">
        <w:rPr>
          <w:lang w:val="en-US" w:eastAsia="en-AU"/>
        </w:rPr>
        <w:t>Level 5, 117 Brisbane Street</w:t>
      </w:r>
    </w:p>
    <w:p w14:paraId="6CCA2B5F" w14:textId="77777777" w:rsidR="00262886" w:rsidRPr="00FC4067" w:rsidRDefault="00262886" w:rsidP="00824689">
      <w:pPr>
        <w:pStyle w:val="Officelocationstyle"/>
        <w:rPr>
          <w:lang w:val="en-US" w:eastAsia="en-AU"/>
        </w:rPr>
      </w:pPr>
      <w:r w:rsidRPr="00FC4067">
        <w:rPr>
          <w:lang w:val="en-US" w:eastAsia="en-AU"/>
        </w:rPr>
        <w:t>PO Box 5</w:t>
      </w:r>
    </w:p>
    <w:p w14:paraId="22EEC5D6" w14:textId="77777777" w:rsidR="00262886" w:rsidRPr="00FC4067" w:rsidRDefault="00262886" w:rsidP="00824689">
      <w:pPr>
        <w:pStyle w:val="Officelocationstyle"/>
        <w:rPr>
          <w:lang w:val="en-US" w:eastAsia="en-AU"/>
        </w:rPr>
      </w:pPr>
      <w:r w:rsidRPr="00FC4067">
        <w:rPr>
          <w:lang w:val="en-US" w:eastAsia="en-AU"/>
        </w:rPr>
        <w:t>Ipswich Qld 4305</w:t>
      </w:r>
    </w:p>
    <w:p w14:paraId="3D2872FE" w14:textId="0A182466" w:rsidR="00262886" w:rsidRPr="00FC4067" w:rsidRDefault="00262886" w:rsidP="00824689">
      <w:pPr>
        <w:pStyle w:val="Officelocationstyle"/>
        <w:rPr>
          <w:lang w:val="en-US" w:eastAsia="en-AU"/>
        </w:rPr>
      </w:pPr>
      <w:r w:rsidRPr="00FC4067">
        <w:rPr>
          <w:lang w:val="en-US" w:eastAsia="en-AU"/>
        </w:rPr>
        <w:t>Phone: 07 3432 2813</w:t>
      </w:r>
    </w:p>
    <w:p w14:paraId="53D0425B" w14:textId="77777777" w:rsidR="00262886" w:rsidRPr="00FC4067" w:rsidRDefault="00262886" w:rsidP="00824689">
      <w:pPr>
        <w:pStyle w:val="Officelocationstyle"/>
        <w:rPr>
          <w:lang w:val="en-US" w:eastAsia="en-AU"/>
        </w:rPr>
      </w:pPr>
    </w:p>
    <w:p w14:paraId="778E6CDB" w14:textId="77777777" w:rsidR="00262886" w:rsidRPr="00346306" w:rsidRDefault="00262886" w:rsidP="00824689">
      <w:pPr>
        <w:pStyle w:val="Officelocationstyle"/>
        <w:rPr>
          <w:b/>
          <w:lang w:val="en-US" w:eastAsia="en-AU"/>
        </w:rPr>
      </w:pPr>
      <w:r w:rsidRPr="00FC4067">
        <w:rPr>
          <w:b/>
          <w:lang w:val="en-US" w:eastAsia="en-AU"/>
        </w:rPr>
        <w:t>Chermside</w:t>
      </w:r>
    </w:p>
    <w:p w14:paraId="2DF2F88F" w14:textId="36397F58" w:rsidR="00262886" w:rsidRPr="00FC4067" w:rsidRDefault="00262886" w:rsidP="00824689">
      <w:pPr>
        <w:pStyle w:val="Officelocationstyle"/>
        <w:rPr>
          <w:lang w:val="en-US" w:eastAsia="en-AU"/>
        </w:rPr>
      </w:pPr>
      <w:r w:rsidRPr="00FC4067">
        <w:rPr>
          <w:lang w:val="en-US" w:eastAsia="en-AU"/>
        </w:rPr>
        <w:t>Level 2, 113 Kittyhawk Drive</w:t>
      </w:r>
      <w:r w:rsidRPr="00FC4067">
        <w:rPr>
          <w:lang w:val="en-US" w:eastAsia="en-AU"/>
        </w:rPr>
        <w:br/>
        <w:t>Chermside QLD 4032</w:t>
      </w:r>
      <w:r w:rsidRPr="00FC4067">
        <w:rPr>
          <w:lang w:val="en-US" w:eastAsia="en-AU"/>
        </w:rPr>
        <w:br/>
        <w:t xml:space="preserve">Phone: </w:t>
      </w:r>
      <w:r w:rsidR="00C37B77">
        <w:rPr>
          <w:lang w:val="en-US" w:eastAsia="en-AU"/>
        </w:rPr>
        <w:t xml:space="preserve">07 </w:t>
      </w:r>
      <w:r w:rsidRPr="00FC4067">
        <w:rPr>
          <w:lang w:val="en-US" w:eastAsia="en-AU"/>
        </w:rPr>
        <w:t>3008 2116</w:t>
      </w:r>
    </w:p>
    <w:p w14:paraId="769F04CF" w14:textId="77777777" w:rsidR="003A016D" w:rsidRPr="00FC4067" w:rsidRDefault="003A016D" w:rsidP="00824689">
      <w:pPr>
        <w:pStyle w:val="Officelocationstyle"/>
        <w:rPr>
          <w:lang w:val="en-US" w:eastAsia="en-AU"/>
        </w:rPr>
      </w:pPr>
      <w:r w:rsidRPr="00FC4067">
        <w:rPr>
          <w:lang w:val="en-US" w:eastAsia="en-AU"/>
        </w:rPr>
        <w:t xml:space="preserve">PO Box 2088 </w:t>
      </w:r>
    </w:p>
    <w:p w14:paraId="4D887056" w14:textId="77777777" w:rsidR="003A016D" w:rsidRPr="00FC4067" w:rsidRDefault="003A016D" w:rsidP="00824689">
      <w:pPr>
        <w:pStyle w:val="Officelocationstyle"/>
        <w:rPr>
          <w:lang w:val="en-US" w:eastAsia="en-AU"/>
        </w:rPr>
      </w:pPr>
      <w:r w:rsidRPr="00FC4067">
        <w:rPr>
          <w:lang w:val="en-US" w:eastAsia="en-AU"/>
        </w:rPr>
        <w:t xml:space="preserve">Chermside Centre  </w:t>
      </w:r>
    </w:p>
    <w:p w14:paraId="5D36481C" w14:textId="78E89BC1" w:rsidR="00262886" w:rsidRPr="00FC4067" w:rsidRDefault="003A016D" w:rsidP="00824689">
      <w:pPr>
        <w:pStyle w:val="Officelocationstyle"/>
        <w:rPr>
          <w:lang w:val="en-US" w:eastAsia="en-AU"/>
        </w:rPr>
      </w:pPr>
      <w:r w:rsidRPr="00FC4067">
        <w:rPr>
          <w:lang w:val="en-US" w:eastAsia="en-AU"/>
        </w:rPr>
        <w:t>Chermside</w:t>
      </w:r>
      <w:r w:rsidR="002C4229" w:rsidRPr="00FC4067">
        <w:rPr>
          <w:lang w:val="en-US" w:eastAsia="en-AU"/>
        </w:rPr>
        <w:t xml:space="preserve"> QLD</w:t>
      </w:r>
      <w:r w:rsidRPr="00FC4067">
        <w:rPr>
          <w:lang w:val="en-US" w:eastAsia="en-AU"/>
        </w:rPr>
        <w:t xml:space="preserve"> 4032</w:t>
      </w:r>
    </w:p>
    <w:p w14:paraId="0A82ECF6" w14:textId="77777777" w:rsidR="003A016D" w:rsidRPr="00FC4067" w:rsidRDefault="003A016D" w:rsidP="00824689">
      <w:pPr>
        <w:pStyle w:val="Officelocationstyle"/>
        <w:rPr>
          <w:b/>
          <w:lang w:val="en-US" w:eastAsia="en-AU"/>
        </w:rPr>
      </w:pPr>
    </w:p>
    <w:p w14:paraId="067942ED" w14:textId="59EA3F15" w:rsidR="00262886" w:rsidRPr="00346306" w:rsidRDefault="00262886" w:rsidP="00824689">
      <w:pPr>
        <w:pStyle w:val="Officelocationstyle"/>
        <w:rPr>
          <w:b/>
          <w:u w:val="single"/>
          <w:lang w:val="en-US" w:eastAsia="en-AU"/>
        </w:rPr>
      </w:pPr>
      <w:r w:rsidRPr="00FC4067">
        <w:rPr>
          <w:b/>
          <w:u w:val="single"/>
          <w:lang w:val="en-US" w:eastAsia="en-AU"/>
        </w:rPr>
        <w:t>Depots</w:t>
      </w:r>
    </w:p>
    <w:p w14:paraId="75092F06" w14:textId="77777777" w:rsidR="00262886" w:rsidRPr="00FC4067" w:rsidRDefault="00262886" w:rsidP="00CF0A4C">
      <w:pPr>
        <w:pStyle w:val="Officelocationstyle"/>
        <w:rPr>
          <w:b/>
          <w:u w:val="single"/>
          <w:lang w:val="en-US" w:eastAsia="en-AU"/>
        </w:rPr>
      </w:pPr>
    </w:p>
    <w:p w14:paraId="7C5DEA78" w14:textId="77777777" w:rsidR="00262886" w:rsidRPr="00FC4067" w:rsidRDefault="00262886" w:rsidP="00CF0A4C">
      <w:pPr>
        <w:pStyle w:val="Officelocationsheadings"/>
      </w:pPr>
      <w:r w:rsidRPr="00FC4067">
        <w:t xml:space="preserve">Beenleigh </w:t>
      </w:r>
    </w:p>
    <w:p w14:paraId="39F8F003" w14:textId="77777777" w:rsidR="00262886" w:rsidRPr="00FC4067" w:rsidRDefault="00262886" w:rsidP="00CF0A4C">
      <w:pPr>
        <w:pStyle w:val="Officelocationstyle"/>
      </w:pPr>
      <w:r w:rsidRPr="00FC4067">
        <w:t>George Street</w:t>
      </w:r>
    </w:p>
    <w:p w14:paraId="1E1C64A8" w14:textId="77777777" w:rsidR="00262886" w:rsidRPr="00FC4067" w:rsidRDefault="00262886" w:rsidP="00CF0A4C">
      <w:pPr>
        <w:pStyle w:val="Officelocationstyle"/>
      </w:pPr>
      <w:r w:rsidRPr="00FC4067">
        <w:t>Beenleigh Qld 4207</w:t>
      </w:r>
    </w:p>
    <w:p w14:paraId="424E3209" w14:textId="77777777" w:rsidR="00262886" w:rsidRPr="00FC4067" w:rsidRDefault="00262886" w:rsidP="00CF0A4C">
      <w:pPr>
        <w:pStyle w:val="Officelocationstyle"/>
      </w:pPr>
      <w:r w:rsidRPr="00FC4067">
        <w:t>(back of Beenleigh State High School)</w:t>
      </w:r>
    </w:p>
    <w:p w14:paraId="4CE2552A" w14:textId="3B7128A2" w:rsidR="00262886" w:rsidRPr="00FC4067" w:rsidRDefault="00262886" w:rsidP="00CF0A4C">
      <w:pPr>
        <w:pStyle w:val="Officelocationstyle"/>
      </w:pPr>
      <w:r w:rsidRPr="00FC4067">
        <w:t xml:space="preserve">Phone: </w:t>
      </w:r>
      <w:r w:rsidR="000A7F04">
        <w:t xml:space="preserve">07 </w:t>
      </w:r>
      <w:r w:rsidRPr="00FC4067">
        <w:t xml:space="preserve">3807 6394 </w:t>
      </w:r>
    </w:p>
    <w:p w14:paraId="21EA1A8E" w14:textId="036ADDCC" w:rsidR="00262886" w:rsidRPr="00FC4067" w:rsidRDefault="00262886" w:rsidP="00CF0A4C">
      <w:pPr>
        <w:pStyle w:val="Officelocationstyle"/>
      </w:pPr>
      <w:r w:rsidRPr="00FC4067">
        <w:t xml:space="preserve">Fax: </w:t>
      </w:r>
      <w:r w:rsidR="000A7F04">
        <w:t xml:space="preserve">07 </w:t>
      </w:r>
      <w:r w:rsidRPr="00FC4067">
        <w:t>3287 5788</w:t>
      </w:r>
    </w:p>
    <w:p w14:paraId="5FD1B7A7" w14:textId="77777777" w:rsidR="00262886" w:rsidRPr="00FC4067" w:rsidRDefault="00262886" w:rsidP="00CF0A4C">
      <w:pPr>
        <w:pStyle w:val="Officelocationsheadings"/>
      </w:pPr>
      <w:r w:rsidRPr="00FC4067">
        <w:t xml:space="preserve">Borallon </w:t>
      </w:r>
    </w:p>
    <w:p w14:paraId="0B7F6972" w14:textId="77777777" w:rsidR="00262886" w:rsidRPr="00FC4067" w:rsidRDefault="00262886" w:rsidP="00CF0A4C">
      <w:pPr>
        <w:pStyle w:val="Officelocationstyle"/>
      </w:pPr>
      <w:r w:rsidRPr="00FC4067">
        <w:t>75 Ivan Lane</w:t>
      </w:r>
    </w:p>
    <w:p w14:paraId="31FD03D8" w14:textId="77777777" w:rsidR="00262886" w:rsidRPr="00FC4067" w:rsidRDefault="00262886" w:rsidP="00CF0A4C">
      <w:pPr>
        <w:pStyle w:val="Officelocationstyle"/>
      </w:pPr>
      <w:r w:rsidRPr="00FC4067">
        <w:t>Ironbark Qld 4306</w:t>
      </w:r>
    </w:p>
    <w:p w14:paraId="52894F9B" w14:textId="10FD62E8" w:rsidR="00262886" w:rsidRPr="00FC4067" w:rsidRDefault="00262886" w:rsidP="00CF0A4C">
      <w:pPr>
        <w:pStyle w:val="Officelocationstyle"/>
      </w:pPr>
      <w:r w:rsidRPr="00FC4067">
        <w:t xml:space="preserve">Phone: </w:t>
      </w:r>
      <w:r w:rsidR="000A7F04">
        <w:t xml:space="preserve">07 </w:t>
      </w:r>
      <w:r w:rsidRPr="00FC4067">
        <w:t>5464 3051</w:t>
      </w:r>
    </w:p>
    <w:p w14:paraId="733BCC76" w14:textId="77777777" w:rsidR="00262886" w:rsidRPr="00FC4067" w:rsidRDefault="00262886" w:rsidP="00CF0A4C">
      <w:pPr>
        <w:pStyle w:val="Officelocationsheadings"/>
      </w:pPr>
      <w:r w:rsidRPr="00FC4067">
        <w:t xml:space="preserve">Northgate </w:t>
      </w:r>
    </w:p>
    <w:p w14:paraId="581FC107" w14:textId="77777777" w:rsidR="00262886" w:rsidRPr="00FC4067" w:rsidRDefault="00262886" w:rsidP="00CF0A4C">
      <w:pPr>
        <w:pStyle w:val="Officelocationstyle"/>
      </w:pPr>
      <w:r w:rsidRPr="00FC4067">
        <w:t>36 Fraser Road</w:t>
      </w:r>
    </w:p>
    <w:p w14:paraId="553D149D" w14:textId="77777777" w:rsidR="00262886" w:rsidRPr="00FC4067" w:rsidRDefault="00262886" w:rsidP="00CF0A4C">
      <w:pPr>
        <w:pStyle w:val="Officelocationstyle"/>
      </w:pPr>
      <w:r w:rsidRPr="00FC4067">
        <w:t>Northgate Qld 4013</w:t>
      </w:r>
    </w:p>
    <w:p w14:paraId="234CBA88" w14:textId="781446DA" w:rsidR="00262886" w:rsidRPr="00FC4067" w:rsidRDefault="00262886" w:rsidP="00CF0A4C">
      <w:pPr>
        <w:pStyle w:val="Officelocationstyle"/>
      </w:pPr>
      <w:r w:rsidRPr="00FC4067">
        <w:t xml:space="preserve">Phone: </w:t>
      </w:r>
      <w:r w:rsidR="000A7F04">
        <w:t xml:space="preserve">07 </w:t>
      </w:r>
      <w:r w:rsidRPr="00FC4067">
        <w:t>3406 9106</w:t>
      </w:r>
    </w:p>
    <w:p w14:paraId="519CB1AC" w14:textId="10B867C3" w:rsidR="00262886" w:rsidRPr="00FC4067" w:rsidRDefault="00262886" w:rsidP="00CF0A4C">
      <w:pPr>
        <w:pStyle w:val="Officelocationstyle"/>
      </w:pPr>
      <w:r w:rsidRPr="00FC4067">
        <w:t xml:space="preserve">Fax: </w:t>
      </w:r>
      <w:r w:rsidR="000A7F04">
        <w:t xml:space="preserve">07 </w:t>
      </w:r>
      <w:r w:rsidRPr="00FC4067">
        <w:t>3256 6239</w:t>
      </w:r>
    </w:p>
    <w:p w14:paraId="7F120EC1" w14:textId="77777777" w:rsidR="00262886" w:rsidRPr="00FC4067" w:rsidRDefault="00262886" w:rsidP="00CF0A4C">
      <w:pPr>
        <w:pStyle w:val="Officelocationsheadings"/>
      </w:pPr>
      <w:r w:rsidRPr="00FC4067">
        <w:t xml:space="preserve">Wacol </w:t>
      </w:r>
    </w:p>
    <w:p w14:paraId="72CD0A8E" w14:textId="77777777" w:rsidR="00262886" w:rsidRPr="00FC4067" w:rsidRDefault="00262886" w:rsidP="00CF0A4C">
      <w:pPr>
        <w:pStyle w:val="Officelocationstyle"/>
      </w:pPr>
      <w:r w:rsidRPr="00FC4067">
        <w:t>Old Moreton A Building</w:t>
      </w:r>
    </w:p>
    <w:p w14:paraId="3F1AEE96" w14:textId="77777777" w:rsidR="00262886" w:rsidRPr="00FC4067" w:rsidRDefault="00262886" w:rsidP="00CF0A4C">
      <w:pPr>
        <w:pStyle w:val="Officelocationstyle"/>
      </w:pPr>
      <w:r w:rsidRPr="00FC4067">
        <w:t>Wacol Station Road</w:t>
      </w:r>
    </w:p>
    <w:p w14:paraId="073FB3DB" w14:textId="77777777" w:rsidR="00262886" w:rsidRPr="00FC4067" w:rsidRDefault="00262886" w:rsidP="00CF0A4C">
      <w:pPr>
        <w:pStyle w:val="Officelocationstyle"/>
      </w:pPr>
      <w:r w:rsidRPr="00FC4067">
        <w:t>Wacol Qld 4076</w:t>
      </w:r>
    </w:p>
    <w:p w14:paraId="31E3975A" w14:textId="6AD91EC2" w:rsidR="00262886" w:rsidRPr="00FC4067" w:rsidRDefault="00262886" w:rsidP="00CF0A4C">
      <w:pPr>
        <w:pStyle w:val="Officelocationstyle"/>
      </w:pPr>
      <w:r w:rsidRPr="00FC4067">
        <w:t xml:space="preserve">Phone: </w:t>
      </w:r>
      <w:r w:rsidR="000A7F04">
        <w:t xml:space="preserve">07 </w:t>
      </w:r>
      <w:r w:rsidRPr="00FC4067">
        <w:t>3271 2918</w:t>
      </w:r>
    </w:p>
    <w:p w14:paraId="0332136B" w14:textId="11E9DFAC" w:rsidR="00262886" w:rsidRPr="00FC4067" w:rsidRDefault="00262886" w:rsidP="00CF0A4C">
      <w:pPr>
        <w:pStyle w:val="Officelocationstyle"/>
      </w:pPr>
      <w:r w:rsidRPr="00FC4067">
        <w:t xml:space="preserve">Fax: </w:t>
      </w:r>
      <w:r w:rsidR="000A7F04">
        <w:t xml:space="preserve">07 </w:t>
      </w:r>
      <w:r w:rsidRPr="00FC4067">
        <w:t>3271 2886</w:t>
      </w:r>
    </w:p>
    <w:p w14:paraId="5E744E65" w14:textId="756F1C41" w:rsidR="00262886" w:rsidRPr="00FC4067" w:rsidRDefault="00262886" w:rsidP="00792F33">
      <w:pPr>
        <w:pStyle w:val="Heading3"/>
      </w:pPr>
      <w:r w:rsidRPr="00FC4067">
        <w:t>Wide Bay Burnett</w:t>
      </w:r>
    </w:p>
    <w:p w14:paraId="2EF060C5" w14:textId="77777777" w:rsidR="00262886" w:rsidRPr="00FC4067" w:rsidRDefault="00262886" w:rsidP="00CF0A4C">
      <w:pPr>
        <w:rPr>
          <w:lang w:val="en-US" w:eastAsia="en-AU"/>
        </w:rPr>
      </w:pPr>
      <w:r w:rsidRPr="00FC4067">
        <w:rPr>
          <w:lang w:val="en-US" w:eastAsia="en-AU"/>
        </w:rPr>
        <w:t>Wide Bay Burnett Regional Office</w:t>
      </w:r>
    </w:p>
    <w:p w14:paraId="56BD2481" w14:textId="77777777" w:rsidR="00262886" w:rsidRPr="00FC4067" w:rsidRDefault="00262886" w:rsidP="00824689">
      <w:pPr>
        <w:pStyle w:val="Officelocationstyle"/>
        <w:rPr>
          <w:lang w:val="en-US" w:eastAsia="en-AU"/>
        </w:rPr>
      </w:pPr>
      <w:r w:rsidRPr="00FC4067">
        <w:rPr>
          <w:lang w:val="en-US" w:eastAsia="en-AU"/>
        </w:rPr>
        <w:t>44 Ariadne Street</w:t>
      </w:r>
    </w:p>
    <w:p w14:paraId="312E58E2" w14:textId="77777777" w:rsidR="00262886" w:rsidRPr="00FC4067" w:rsidRDefault="00262886" w:rsidP="00824689">
      <w:pPr>
        <w:pStyle w:val="Officelocationstyle"/>
        <w:rPr>
          <w:lang w:val="en-US" w:eastAsia="en-AU"/>
        </w:rPr>
      </w:pPr>
      <w:r w:rsidRPr="00FC4067">
        <w:rPr>
          <w:lang w:val="en-US" w:eastAsia="en-AU"/>
        </w:rPr>
        <w:t>PO Box 299</w:t>
      </w:r>
    </w:p>
    <w:p w14:paraId="5A149EC8" w14:textId="77777777" w:rsidR="00262886" w:rsidRPr="00FC4067" w:rsidRDefault="00262886" w:rsidP="00824689">
      <w:pPr>
        <w:pStyle w:val="Officelocationstyle"/>
        <w:rPr>
          <w:lang w:val="en-US" w:eastAsia="en-AU"/>
        </w:rPr>
      </w:pPr>
      <w:r w:rsidRPr="00FC4067">
        <w:rPr>
          <w:lang w:val="en-US" w:eastAsia="en-AU"/>
        </w:rPr>
        <w:t xml:space="preserve">Maryborough Qld 4650 </w:t>
      </w:r>
    </w:p>
    <w:p w14:paraId="641C3FD6" w14:textId="5068290B" w:rsidR="00262886" w:rsidRPr="00FC4067" w:rsidRDefault="00262886" w:rsidP="00824689">
      <w:pPr>
        <w:pStyle w:val="Officelocationstyle"/>
        <w:rPr>
          <w:lang w:val="en-US" w:eastAsia="en-AU"/>
        </w:rPr>
      </w:pPr>
      <w:r w:rsidRPr="00FC4067">
        <w:rPr>
          <w:lang w:val="en-US" w:eastAsia="en-AU"/>
        </w:rPr>
        <w:t xml:space="preserve">Phone: </w:t>
      </w:r>
      <w:r w:rsidR="00C37B77">
        <w:rPr>
          <w:lang w:val="en-US" w:eastAsia="en-AU"/>
        </w:rPr>
        <w:t xml:space="preserve">07 </w:t>
      </w:r>
      <w:r w:rsidRPr="00FC4067">
        <w:rPr>
          <w:lang w:val="en-US" w:eastAsia="en-AU"/>
        </w:rPr>
        <w:t>4123 9400</w:t>
      </w:r>
    </w:p>
    <w:p w14:paraId="2AC9E523" w14:textId="6C91D36B" w:rsidR="00262886" w:rsidRPr="00FC4067" w:rsidRDefault="00262886" w:rsidP="00824689">
      <w:pPr>
        <w:pStyle w:val="Officelocationstyle"/>
        <w:rPr>
          <w:lang w:val="en-US" w:eastAsia="en-AU"/>
        </w:rPr>
      </w:pPr>
      <w:r w:rsidRPr="00FC4067">
        <w:rPr>
          <w:lang w:val="en-US" w:eastAsia="en-AU"/>
        </w:rPr>
        <w:lastRenderedPageBreak/>
        <w:t xml:space="preserve">Fax: </w:t>
      </w:r>
      <w:r w:rsidR="00C37B77">
        <w:rPr>
          <w:lang w:val="en-US" w:eastAsia="en-AU"/>
        </w:rPr>
        <w:t xml:space="preserve">07 </w:t>
      </w:r>
      <w:r w:rsidRPr="00FC4067">
        <w:rPr>
          <w:lang w:val="en-US" w:eastAsia="en-AU"/>
        </w:rPr>
        <w:t>4121 1948</w:t>
      </w:r>
    </w:p>
    <w:p w14:paraId="1E6834E0" w14:textId="77777777" w:rsidR="00262886" w:rsidRPr="00FC4067" w:rsidRDefault="00262886" w:rsidP="00824689">
      <w:pPr>
        <w:pStyle w:val="Officelocationstyle"/>
        <w:rPr>
          <w:lang w:val="en-US" w:eastAsia="en-AU"/>
        </w:rPr>
      </w:pPr>
    </w:p>
    <w:p w14:paraId="1EC141F4" w14:textId="77777777" w:rsidR="00262886" w:rsidRPr="00346306" w:rsidRDefault="00262886" w:rsidP="00824689">
      <w:pPr>
        <w:pStyle w:val="Officelocationstyle"/>
        <w:rPr>
          <w:b/>
          <w:u w:val="single"/>
          <w:lang w:val="en-US" w:eastAsia="en-AU"/>
        </w:rPr>
      </w:pPr>
      <w:bookmarkStart w:id="87" w:name="_Hlk489434543"/>
      <w:r w:rsidRPr="00FC4067">
        <w:rPr>
          <w:b/>
          <w:u w:val="single"/>
          <w:lang w:val="en-US" w:eastAsia="en-AU"/>
        </w:rPr>
        <w:t>District Offices</w:t>
      </w:r>
    </w:p>
    <w:bookmarkEnd w:id="87"/>
    <w:p w14:paraId="2171236A" w14:textId="77777777" w:rsidR="00262886" w:rsidRPr="00346306" w:rsidRDefault="00262886" w:rsidP="00CF0A4C">
      <w:pPr>
        <w:rPr>
          <w:b/>
          <w:lang w:val="en-US" w:eastAsia="en-AU"/>
        </w:rPr>
      </w:pPr>
      <w:r w:rsidRPr="00FC4067">
        <w:rPr>
          <w:b/>
          <w:lang w:val="en-US" w:eastAsia="en-AU"/>
        </w:rPr>
        <w:t xml:space="preserve">Bundaberg </w:t>
      </w:r>
    </w:p>
    <w:p w14:paraId="0C684BCA" w14:textId="77777777" w:rsidR="00262886" w:rsidRPr="00FC4067" w:rsidRDefault="00262886" w:rsidP="00DC68E6">
      <w:pPr>
        <w:pStyle w:val="Officelocationstyle"/>
      </w:pPr>
      <w:r w:rsidRPr="00FC4067">
        <w:t>85 Dr Mays Road</w:t>
      </w:r>
    </w:p>
    <w:p w14:paraId="1830334A" w14:textId="77777777" w:rsidR="00262886" w:rsidRPr="00FC4067" w:rsidRDefault="00262886" w:rsidP="00DC68E6">
      <w:pPr>
        <w:pStyle w:val="Officelocationstyle"/>
      </w:pPr>
      <w:r w:rsidRPr="00FC4067">
        <w:t>PO Box 3065</w:t>
      </w:r>
    </w:p>
    <w:p w14:paraId="0C2C6C7C" w14:textId="77777777" w:rsidR="00262886" w:rsidRPr="00FC4067" w:rsidRDefault="00262886" w:rsidP="00DC68E6">
      <w:pPr>
        <w:pStyle w:val="Officelocationstyle"/>
      </w:pPr>
      <w:r w:rsidRPr="00FC4067">
        <w:t>Bundaberg Qld 4670</w:t>
      </w:r>
    </w:p>
    <w:p w14:paraId="1F4A9948" w14:textId="77777777" w:rsidR="00262886" w:rsidRPr="00FC4067" w:rsidRDefault="00262886" w:rsidP="00DC68E6">
      <w:pPr>
        <w:pStyle w:val="Officelocationstyle"/>
      </w:pPr>
      <w:r w:rsidRPr="00FC4067">
        <w:t>Phone: 4158 9700 </w:t>
      </w:r>
    </w:p>
    <w:p w14:paraId="0BE71688" w14:textId="77777777" w:rsidR="00262886" w:rsidRPr="00FC4067" w:rsidRDefault="00262886" w:rsidP="00DC68E6">
      <w:pPr>
        <w:pStyle w:val="Officelocationstyle"/>
      </w:pPr>
      <w:r w:rsidRPr="00FC4067">
        <w:t>Fax: 4131 5760</w:t>
      </w:r>
    </w:p>
    <w:p w14:paraId="78D1CB1E" w14:textId="21DA1377" w:rsidR="00490134" w:rsidRPr="00FC4067" w:rsidRDefault="00490134" w:rsidP="00DC68E6">
      <w:pPr>
        <w:pStyle w:val="Officelocationstyle"/>
      </w:pPr>
    </w:p>
    <w:p w14:paraId="3E2F4A62" w14:textId="5F4BC502" w:rsidR="00262886" w:rsidRPr="00346306" w:rsidRDefault="00262886" w:rsidP="00BD646F">
      <w:pPr>
        <w:shd w:val="clear" w:color="auto" w:fill="FFFFFF" w:themeFill="background1"/>
        <w:textAlignment w:val="baseline"/>
        <w:outlineLvl w:val="3"/>
        <w:rPr>
          <w:b/>
          <w:u w:val="single"/>
        </w:rPr>
      </w:pPr>
      <w:r w:rsidRPr="00FC4067">
        <w:rPr>
          <w:b/>
          <w:u w:val="single"/>
        </w:rPr>
        <w:t>Depots</w:t>
      </w:r>
    </w:p>
    <w:p w14:paraId="3745734F" w14:textId="77777777" w:rsidR="00262886" w:rsidRPr="00FC4067" w:rsidRDefault="00262886" w:rsidP="00CF0A4C">
      <w:pPr>
        <w:pStyle w:val="Officelocationsheadings"/>
      </w:pPr>
      <w:r w:rsidRPr="00FC4067">
        <w:t xml:space="preserve">Bundaberg </w:t>
      </w:r>
    </w:p>
    <w:p w14:paraId="7E657224" w14:textId="5B391733" w:rsidR="00262886" w:rsidRPr="00FC4067" w:rsidRDefault="00262886" w:rsidP="00CF0A4C">
      <w:pPr>
        <w:pStyle w:val="Officelocationstyle"/>
      </w:pPr>
      <w:r w:rsidRPr="00FC4067">
        <w:t>85 Dr Mays Road</w:t>
      </w:r>
    </w:p>
    <w:p w14:paraId="14D8C41E" w14:textId="77777777" w:rsidR="00262886" w:rsidRPr="00FC4067" w:rsidRDefault="00262886" w:rsidP="00CF0A4C">
      <w:pPr>
        <w:pStyle w:val="Officelocationstyle"/>
      </w:pPr>
      <w:r w:rsidRPr="00FC4067">
        <w:t>Bundaberg Qld 4670</w:t>
      </w:r>
    </w:p>
    <w:p w14:paraId="5AE8823F" w14:textId="34D92A38" w:rsidR="00262886" w:rsidRPr="00FC4067" w:rsidRDefault="00262886" w:rsidP="00CF0A4C">
      <w:pPr>
        <w:pStyle w:val="Officelocationstyle"/>
      </w:pPr>
      <w:r w:rsidRPr="00FC4067">
        <w:t xml:space="preserve">Phone: </w:t>
      </w:r>
      <w:r w:rsidR="00C37B77">
        <w:t xml:space="preserve">07 </w:t>
      </w:r>
      <w:r w:rsidRPr="00FC4067">
        <w:t>4158 9700</w:t>
      </w:r>
    </w:p>
    <w:p w14:paraId="24D99271" w14:textId="126EFDFA" w:rsidR="00262886" w:rsidRPr="00FC4067" w:rsidRDefault="00262886" w:rsidP="00CF0A4C">
      <w:pPr>
        <w:pStyle w:val="Officelocationstyle"/>
      </w:pPr>
      <w:r w:rsidRPr="00FC4067">
        <w:t xml:space="preserve">Fax: </w:t>
      </w:r>
      <w:r w:rsidR="00C37B77">
        <w:t xml:space="preserve">07 </w:t>
      </w:r>
      <w:r w:rsidRPr="00FC4067">
        <w:t>4131 5760</w:t>
      </w:r>
    </w:p>
    <w:p w14:paraId="49D3AD93" w14:textId="77777777" w:rsidR="00262886" w:rsidRPr="00FC4067" w:rsidRDefault="00262886" w:rsidP="00CF0A4C">
      <w:pPr>
        <w:pStyle w:val="Officelocationsheadings"/>
      </w:pPr>
      <w:r w:rsidRPr="00FC4067">
        <w:t xml:space="preserve">Gympie </w:t>
      </w:r>
    </w:p>
    <w:p w14:paraId="58B6C6E7" w14:textId="77777777" w:rsidR="00262886" w:rsidRPr="00FC4067" w:rsidRDefault="00262886" w:rsidP="00CF0A4C">
      <w:pPr>
        <w:pStyle w:val="Officelocationstyle"/>
      </w:pPr>
      <w:r w:rsidRPr="00FC4067">
        <w:t>8-10 King Street</w:t>
      </w:r>
    </w:p>
    <w:p w14:paraId="76F97856" w14:textId="77777777" w:rsidR="00262886" w:rsidRPr="00FC4067" w:rsidRDefault="00262886" w:rsidP="00CF0A4C">
      <w:pPr>
        <w:pStyle w:val="Officelocationstyle"/>
      </w:pPr>
      <w:r w:rsidRPr="00FC4067">
        <w:t>Gympie Qld 4570</w:t>
      </w:r>
    </w:p>
    <w:p w14:paraId="5B8A7513" w14:textId="759DA328" w:rsidR="00262886" w:rsidRPr="00FC4067" w:rsidRDefault="00262886" w:rsidP="00CF0A4C">
      <w:pPr>
        <w:pStyle w:val="Officelocationstyle"/>
      </w:pPr>
      <w:r w:rsidRPr="00FC4067">
        <w:t xml:space="preserve">Phone: </w:t>
      </w:r>
      <w:r w:rsidR="00C37B77">
        <w:t xml:space="preserve">07 </w:t>
      </w:r>
      <w:r w:rsidRPr="00FC4067">
        <w:t>5482 1827</w:t>
      </w:r>
    </w:p>
    <w:p w14:paraId="69BA413A" w14:textId="66A323B4" w:rsidR="00262886" w:rsidRPr="00FC4067" w:rsidRDefault="00262886" w:rsidP="00CF0A4C">
      <w:pPr>
        <w:pStyle w:val="Officelocationstyle"/>
      </w:pPr>
      <w:r w:rsidRPr="00FC4067">
        <w:t xml:space="preserve">Fax: </w:t>
      </w:r>
      <w:r w:rsidR="00C37B77">
        <w:t xml:space="preserve">07 </w:t>
      </w:r>
      <w:r w:rsidRPr="00FC4067">
        <w:t>5482 7681</w:t>
      </w:r>
    </w:p>
    <w:p w14:paraId="29653A6B" w14:textId="77777777" w:rsidR="00262886" w:rsidRPr="00FC4067" w:rsidRDefault="00262886" w:rsidP="00CF0A4C">
      <w:pPr>
        <w:pStyle w:val="Officelocationsheadings"/>
      </w:pPr>
      <w:r w:rsidRPr="00FC4067">
        <w:t xml:space="preserve">Kingaroy </w:t>
      </w:r>
    </w:p>
    <w:p w14:paraId="2B7EE760" w14:textId="77777777" w:rsidR="00262886" w:rsidRPr="00FC4067" w:rsidRDefault="00262886" w:rsidP="00CF0A4C">
      <w:pPr>
        <w:pStyle w:val="Officelocationstyle"/>
      </w:pPr>
      <w:r w:rsidRPr="00FC4067">
        <w:t>51 Prince Street</w:t>
      </w:r>
    </w:p>
    <w:p w14:paraId="3E7F12CF" w14:textId="77777777" w:rsidR="00262886" w:rsidRPr="00FC4067" w:rsidRDefault="00262886" w:rsidP="00CF0A4C">
      <w:pPr>
        <w:pStyle w:val="Officelocationstyle"/>
      </w:pPr>
      <w:r w:rsidRPr="00FC4067">
        <w:t>Kingaroy Qld 4610</w:t>
      </w:r>
    </w:p>
    <w:p w14:paraId="2C016D3C" w14:textId="385854EF" w:rsidR="00262886" w:rsidRPr="00FC4067" w:rsidRDefault="00262886" w:rsidP="00CF0A4C">
      <w:pPr>
        <w:pStyle w:val="Officelocationstyle"/>
      </w:pPr>
      <w:r w:rsidRPr="00FC4067">
        <w:t xml:space="preserve">Phone: </w:t>
      </w:r>
      <w:r w:rsidR="00C37B77">
        <w:t xml:space="preserve">07 </w:t>
      </w:r>
      <w:r w:rsidRPr="00FC4067">
        <w:t>4162 2129</w:t>
      </w:r>
    </w:p>
    <w:p w14:paraId="4DC86F10" w14:textId="69BDE16D" w:rsidR="00262886" w:rsidRPr="00FC4067" w:rsidRDefault="00262886" w:rsidP="00CF0A4C">
      <w:pPr>
        <w:pStyle w:val="Officelocationstyle"/>
      </w:pPr>
      <w:r w:rsidRPr="00FC4067">
        <w:t xml:space="preserve">Fax: </w:t>
      </w:r>
      <w:r w:rsidR="00C37B77">
        <w:t xml:space="preserve">07 </w:t>
      </w:r>
      <w:r w:rsidRPr="00FC4067">
        <w:t>4162 5043</w:t>
      </w:r>
    </w:p>
    <w:p w14:paraId="1D59919B" w14:textId="77777777" w:rsidR="00262886" w:rsidRPr="00FC4067" w:rsidRDefault="00262886" w:rsidP="00CF0A4C">
      <w:pPr>
        <w:pStyle w:val="Officelocationsheadings"/>
      </w:pPr>
      <w:r w:rsidRPr="00FC4067">
        <w:t xml:space="preserve">Maryborough </w:t>
      </w:r>
    </w:p>
    <w:p w14:paraId="1033A427" w14:textId="77777777" w:rsidR="00262886" w:rsidRPr="00FC4067" w:rsidRDefault="00262886" w:rsidP="00CF0A4C">
      <w:pPr>
        <w:pStyle w:val="Officelocationstyle"/>
      </w:pPr>
      <w:r w:rsidRPr="00FC4067">
        <w:t>44 Ariadne Street</w:t>
      </w:r>
    </w:p>
    <w:p w14:paraId="282D3287" w14:textId="77777777" w:rsidR="00262886" w:rsidRPr="00FC4067" w:rsidRDefault="00262886" w:rsidP="00CF0A4C">
      <w:pPr>
        <w:pStyle w:val="Officelocationstyle"/>
      </w:pPr>
      <w:r w:rsidRPr="00FC4067">
        <w:t>Maryborough Qld 4650</w:t>
      </w:r>
    </w:p>
    <w:p w14:paraId="68F82E05" w14:textId="4E94ADE7" w:rsidR="00262886" w:rsidRPr="00FC4067" w:rsidRDefault="00262886" w:rsidP="00CF0A4C">
      <w:pPr>
        <w:pStyle w:val="Officelocationstyle"/>
      </w:pPr>
      <w:r w:rsidRPr="00FC4067">
        <w:t xml:space="preserve">Phone: </w:t>
      </w:r>
      <w:r w:rsidR="00C37B77">
        <w:t xml:space="preserve">07 </w:t>
      </w:r>
      <w:r w:rsidRPr="00FC4067">
        <w:t>4123 9400</w:t>
      </w:r>
    </w:p>
    <w:p w14:paraId="140A72E0" w14:textId="7549B878" w:rsidR="00262886" w:rsidRPr="00FC4067" w:rsidRDefault="00262886" w:rsidP="00CF0A4C">
      <w:pPr>
        <w:pStyle w:val="Officelocationstyle"/>
      </w:pPr>
      <w:r w:rsidRPr="00FC4067">
        <w:t xml:space="preserve">Fax: </w:t>
      </w:r>
      <w:r w:rsidR="00C37B77">
        <w:t xml:space="preserve">07 </w:t>
      </w:r>
      <w:r w:rsidRPr="00FC4067">
        <w:t>4121 1948</w:t>
      </w:r>
    </w:p>
    <w:p w14:paraId="5C323E59" w14:textId="77777777" w:rsidR="00BD646F" w:rsidRPr="00FC4067" w:rsidRDefault="00BD646F" w:rsidP="00CF0A4C">
      <w:pPr>
        <w:pStyle w:val="Officelocationstyle"/>
      </w:pPr>
    </w:p>
    <w:p w14:paraId="6FE5B4EB" w14:textId="77777777" w:rsidR="00262886" w:rsidRPr="00FC4067" w:rsidRDefault="00262886" w:rsidP="00792F33">
      <w:pPr>
        <w:pStyle w:val="Heading3"/>
      </w:pPr>
      <w:r w:rsidRPr="00FC4067">
        <w:t>South West Queensland</w:t>
      </w:r>
    </w:p>
    <w:p w14:paraId="5A5A8864" w14:textId="77777777" w:rsidR="00262886" w:rsidRPr="00FC4067" w:rsidRDefault="00262886" w:rsidP="00BD646F">
      <w:pPr>
        <w:pStyle w:val="Officelocationsheadings"/>
      </w:pPr>
      <w:r w:rsidRPr="00FC4067">
        <w:t>South West Queensland Regional Office</w:t>
      </w:r>
    </w:p>
    <w:p w14:paraId="5E2F4941" w14:textId="77777777" w:rsidR="00262886" w:rsidRPr="00FC4067" w:rsidRDefault="00262886" w:rsidP="00BD646F">
      <w:pPr>
        <w:pStyle w:val="Officelocationstyle"/>
      </w:pPr>
      <w:r w:rsidRPr="00FC4067">
        <w:t>Toowoomba</w:t>
      </w:r>
    </w:p>
    <w:p w14:paraId="571A3627" w14:textId="77777777" w:rsidR="00262886" w:rsidRPr="00FC4067" w:rsidRDefault="00262886" w:rsidP="00BD646F">
      <w:pPr>
        <w:pStyle w:val="Officelocationstyle"/>
      </w:pPr>
      <w:r w:rsidRPr="00FC4067">
        <w:t>120-124 Mort Street</w:t>
      </w:r>
    </w:p>
    <w:p w14:paraId="239C5375" w14:textId="77777777" w:rsidR="00262886" w:rsidRPr="00FC4067" w:rsidRDefault="00262886" w:rsidP="00BD646F">
      <w:pPr>
        <w:pStyle w:val="Officelocationstyle"/>
      </w:pPr>
      <w:r w:rsidRPr="00FC4067">
        <w:t>PO Box 666</w:t>
      </w:r>
    </w:p>
    <w:p w14:paraId="3F3A6873" w14:textId="77777777" w:rsidR="00262886" w:rsidRPr="00FC4067" w:rsidRDefault="00262886" w:rsidP="00BD646F">
      <w:pPr>
        <w:pStyle w:val="Officelocationstyle"/>
      </w:pPr>
      <w:r w:rsidRPr="00FC4067">
        <w:t>Toowoomba Qld 4350</w:t>
      </w:r>
    </w:p>
    <w:p w14:paraId="3EC5DF6A" w14:textId="426FC76D" w:rsidR="00262886" w:rsidRPr="00FC4067" w:rsidRDefault="00262886" w:rsidP="00BD646F">
      <w:pPr>
        <w:pStyle w:val="Officelocationstyle"/>
      </w:pPr>
      <w:r w:rsidRPr="00FC4067">
        <w:t xml:space="preserve">Phone: </w:t>
      </w:r>
      <w:r w:rsidR="00C37B77">
        <w:t xml:space="preserve">07 </w:t>
      </w:r>
      <w:r w:rsidRPr="00FC4067">
        <w:t>4614 2300</w:t>
      </w:r>
    </w:p>
    <w:p w14:paraId="4818C4F7" w14:textId="6E11B080" w:rsidR="00262886" w:rsidRPr="00FC4067" w:rsidRDefault="00262886" w:rsidP="00BD646F">
      <w:pPr>
        <w:pStyle w:val="Officelocationstyle"/>
      </w:pPr>
      <w:r w:rsidRPr="00FC4067">
        <w:t xml:space="preserve">Fax: </w:t>
      </w:r>
      <w:r w:rsidR="00C37B77">
        <w:t xml:space="preserve">07 </w:t>
      </w:r>
      <w:r w:rsidRPr="00FC4067">
        <w:t>4615 3529</w:t>
      </w:r>
    </w:p>
    <w:p w14:paraId="7949214D" w14:textId="77777777" w:rsidR="00262886" w:rsidRPr="00FC4067" w:rsidRDefault="00262886" w:rsidP="00BD646F">
      <w:pPr>
        <w:pStyle w:val="Officelocationstyle"/>
      </w:pPr>
    </w:p>
    <w:p w14:paraId="058F848E" w14:textId="77777777" w:rsidR="00262886" w:rsidRPr="00FC4067" w:rsidRDefault="00262886" w:rsidP="00BD646F">
      <w:pPr>
        <w:pStyle w:val="Officelocationsheadings"/>
      </w:pPr>
      <w:r w:rsidRPr="00FC4067">
        <w:t>District Offices</w:t>
      </w:r>
    </w:p>
    <w:p w14:paraId="6DDCFF8B" w14:textId="77777777" w:rsidR="00262886" w:rsidRPr="00FC4067" w:rsidRDefault="00262886" w:rsidP="00BD646F">
      <w:pPr>
        <w:pStyle w:val="Officelocationstyle"/>
      </w:pPr>
    </w:p>
    <w:p w14:paraId="52446E08" w14:textId="77777777" w:rsidR="00262886" w:rsidRPr="00FC4067" w:rsidRDefault="00262886" w:rsidP="00BD646F">
      <w:pPr>
        <w:pStyle w:val="Officelocationstyle"/>
      </w:pPr>
      <w:r w:rsidRPr="00FC4067">
        <w:t xml:space="preserve">Charleville </w:t>
      </w:r>
    </w:p>
    <w:p w14:paraId="263E1089" w14:textId="77777777" w:rsidR="00262886" w:rsidRPr="00FC4067" w:rsidRDefault="00262886" w:rsidP="00BD646F">
      <w:pPr>
        <w:pStyle w:val="Officelocationstyle"/>
      </w:pPr>
      <w:r w:rsidRPr="00FC4067">
        <w:t>46 Edward Street</w:t>
      </w:r>
    </w:p>
    <w:p w14:paraId="360D1343" w14:textId="77777777" w:rsidR="00262886" w:rsidRPr="00FC4067" w:rsidRDefault="00262886" w:rsidP="00BD646F">
      <w:pPr>
        <w:pStyle w:val="Officelocationstyle"/>
      </w:pPr>
      <w:r w:rsidRPr="00FC4067">
        <w:t>PO Box 177</w:t>
      </w:r>
    </w:p>
    <w:p w14:paraId="2EA8D3B9" w14:textId="77777777" w:rsidR="00262886" w:rsidRPr="00FC4067" w:rsidRDefault="00262886" w:rsidP="00BD646F">
      <w:pPr>
        <w:pStyle w:val="Officelocationstyle"/>
      </w:pPr>
      <w:r w:rsidRPr="00FC4067">
        <w:t xml:space="preserve">Charleville Qld 4470 </w:t>
      </w:r>
    </w:p>
    <w:p w14:paraId="1DCF26A4" w14:textId="5275BBF7" w:rsidR="00262886" w:rsidRPr="00FC4067" w:rsidRDefault="00262886" w:rsidP="00BD646F">
      <w:pPr>
        <w:pStyle w:val="Officelocationstyle"/>
      </w:pPr>
      <w:r w:rsidRPr="00FC4067">
        <w:t xml:space="preserve">Phone: </w:t>
      </w:r>
      <w:r w:rsidR="00C37B77">
        <w:t xml:space="preserve">07 </w:t>
      </w:r>
      <w:r w:rsidRPr="00FC4067">
        <w:t>4593 2200</w:t>
      </w:r>
    </w:p>
    <w:p w14:paraId="2F0A3187" w14:textId="4B87810C" w:rsidR="00262886" w:rsidRPr="00FC4067" w:rsidRDefault="00262886" w:rsidP="00BD646F">
      <w:pPr>
        <w:pStyle w:val="Officelocationstyle"/>
      </w:pPr>
      <w:r w:rsidRPr="00FC4067">
        <w:lastRenderedPageBreak/>
        <w:t xml:space="preserve">Fax: </w:t>
      </w:r>
      <w:r w:rsidR="00C37B77">
        <w:t xml:space="preserve">07 </w:t>
      </w:r>
      <w:r w:rsidRPr="00FC4067">
        <w:t>4656 5069</w:t>
      </w:r>
    </w:p>
    <w:p w14:paraId="351ADA9D" w14:textId="77777777" w:rsidR="00262886" w:rsidRPr="00FC4067" w:rsidRDefault="00262886" w:rsidP="00BD646F">
      <w:pPr>
        <w:pStyle w:val="Officelocationstyle"/>
      </w:pPr>
    </w:p>
    <w:p w14:paraId="62419951" w14:textId="4F6133A2" w:rsidR="00262886" w:rsidRPr="00FC4067" w:rsidRDefault="00262886" w:rsidP="00BD646F">
      <w:pPr>
        <w:pStyle w:val="Officelocationsheadings"/>
      </w:pPr>
      <w:r w:rsidRPr="00FC4067">
        <w:t xml:space="preserve">Roma </w:t>
      </w:r>
    </w:p>
    <w:p w14:paraId="09A3A1EE" w14:textId="77777777" w:rsidR="00262886" w:rsidRPr="00FC4067" w:rsidRDefault="00262886" w:rsidP="00BD646F">
      <w:pPr>
        <w:pStyle w:val="Officelocationstyle"/>
      </w:pPr>
      <w:r w:rsidRPr="00FC4067">
        <w:t>62 Arthur Street</w:t>
      </w:r>
    </w:p>
    <w:p w14:paraId="6587D158" w14:textId="3B1D6300" w:rsidR="00262886" w:rsidRPr="00FC4067" w:rsidRDefault="00262886" w:rsidP="00BD646F">
      <w:pPr>
        <w:pStyle w:val="Officelocationstyle"/>
      </w:pPr>
      <w:r w:rsidRPr="00FC4067">
        <w:t>P</w:t>
      </w:r>
      <w:r w:rsidR="00490134" w:rsidRPr="00FC4067">
        <w:t>0</w:t>
      </w:r>
      <w:r w:rsidRPr="00FC4067">
        <w:t xml:space="preserve"> Box 1029</w:t>
      </w:r>
    </w:p>
    <w:p w14:paraId="26770B6A" w14:textId="77777777" w:rsidR="00262886" w:rsidRPr="00FC4067" w:rsidRDefault="00262886" w:rsidP="00BD646F">
      <w:pPr>
        <w:pStyle w:val="Officelocationstyle"/>
      </w:pPr>
      <w:r w:rsidRPr="00FC4067">
        <w:t>Roma Qld 4455</w:t>
      </w:r>
    </w:p>
    <w:p w14:paraId="3FFDB14F" w14:textId="19B594BA" w:rsidR="00262886" w:rsidRPr="00FC4067" w:rsidRDefault="00262886" w:rsidP="00BD646F">
      <w:pPr>
        <w:pStyle w:val="Officelocationstyle"/>
      </w:pPr>
      <w:r w:rsidRPr="00FC4067">
        <w:t xml:space="preserve">Phone: </w:t>
      </w:r>
      <w:r w:rsidR="00C37B77">
        <w:t xml:space="preserve">07 </w:t>
      </w:r>
      <w:r w:rsidRPr="00FC4067">
        <w:t>4578 4000</w:t>
      </w:r>
    </w:p>
    <w:p w14:paraId="0287E856" w14:textId="544F0E98" w:rsidR="00262886" w:rsidRPr="00FC4067" w:rsidRDefault="00262886" w:rsidP="00BD646F">
      <w:pPr>
        <w:pStyle w:val="Officelocationstyle"/>
      </w:pPr>
      <w:r w:rsidRPr="00FC4067">
        <w:t xml:space="preserve">Fax: </w:t>
      </w:r>
      <w:r w:rsidR="00C37B77">
        <w:t xml:space="preserve">07 </w:t>
      </w:r>
      <w:r w:rsidRPr="00FC4067">
        <w:t>4624 3009</w:t>
      </w:r>
    </w:p>
    <w:p w14:paraId="76955479" w14:textId="77777777" w:rsidR="00490134" w:rsidRPr="00FC4067" w:rsidRDefault="00490134" w:rsidP="00BD646F">
      <w:pPr>
        <w:pStyle w:val="Officelocationstyle"/>
      </w:pPr>
    </w:p>
    <w:p w14:paraId="2CE8712C" w14:textId="15F86DB4" w:rsidR="00262886" w:rsidRPr="00FC4067" w:rsidRDefault="00262886" w:rsidP="00BD646F">
      <w:pPr>
        <w:pStyle w:val="Officelocationsheadings"/>
        <w:rPr>
          <w:u w:val="single"/>
        </w:rPr>
      </w:pPr>
      <w:r w:rsidRPr="00FC4067">
        <w:rPr>
          <w:u w:val="single"/>
        </w:rPr>
        <w:t>Depots</w:t>
      </w:r>
    </w:p>
    <w:p w14:paraId="6C4A6CEA" w14:textId="77777777" w:rsidR="00262886" w:rsidRPr="00FC4067" w:rsidRDefault="00262886" w:rsidP="00BD646F">
      <w:pPr>
        <w:pStyle w:val="Officelocationsheadings"/>
      </w:pPr>
      <w:r w:rsidRPr="00FC4067">
        <w:t xml:space="preserve">Toowoomba </w:t>
      </w:r>
    </w:p>
    <w:p w14:paraId="7E41353B" w14:textId="77777777" w:rsidR="00262886" w:rsidRPr="00FC4067" w:rsidRDefault="00262886" w:rsidP="00BD646F">
      <w:pPr>
        <w:pStyle w:val="Officelocationstyle"/>
      </w:pPr>
      <w:r w:rsidRPr="00FC4067">
        <w:t>120-124 Mort Street</w:t>
      </w:r>
    </w:p>
    <w:p w14:paraId="26A40BC0" w14:textId="77777777" w:rsidR="00262886" w:rsidRPr="00FC4067" w:rsidRDefault="00262886" w:rsidP="00BD646F">
      <w:pPr>
        <w:pStyle w:val="Officelocationstyle"/>
      </w:pPr>
      <w:r w:rsidRPr="00FC4067">
        <w:t>Toowoomba Qld 4350</w:t>
      </w:r>
    </w:p>
    <w:p w14:paraId="7E638D34" w14:textId="77777777" w:rsidR="00262886" w:rsidRPr="00FC4067" w:rsidRDefault="00262886" w:rsidP="00BD646F">
      <w:pPr>
        <w:pStyle w:val="Officelocationstyle"/>
      </w:pPr>
      <w:r w:rsidRPr="00FC4067">
        <w:t>Phone: 4614 2300</w:t>
      </w:r>
    </w:p>
    <w:p w14:paraId="4C2CF688" w14:textId="77777777" w:rsidR="00262886" w:rsidRPr="00FC4067" w:rsidRDefault="00262886" w:rsidP="00BD646F">
      <w:pPr>
        <w:pStyle w:val="Officelocationstyle"/>
      </w:pPr>
      <w:r w:rsidRPr="00FC4067">
        <w:t xml:space="preserve">Charleville </w:t>
      </w:r>
    </w:p>
    <w:p w14:paraId="73FA95F2" w14:textId="77777777" w:rsidR="00262886" w:rsidRPr="00FC4067" w:rsidRDefault="00262886" w:rsidP="00BD646F">
      <w:pPr>
        <w:pStyle w:val="Officelocationstyle"/>
      </w:pPr>
      <w:r w:rsidRPr="00FC4067">
        <w:t>46 Edward Street</w:t>
      </w:r>
    </w:p>
    <w:p w14:paraId="6F575D3F" w14:textId="77777777" w:rsidR="00262886" w:rsidRPr="00FC4067" w:rsidRDefault="00262886" w:rsidP="00BD646F">
      <w:pPr>
        <w:pStyle w:val="Officelocationstyle"/>
      </w:pPr>
      <w:r w:rsidRPr="00FC4067">
        <w:t>Charleville Qld 4470</w:t>
      </w:r>
    </w:p>
    <w:p w14:paraId="05A12F4E" w14:textId="3D359A3F" w:rsidR="00262886" w:rsidRPr="00FC4067" w:rsidRDefault="00262886" w:rsidP="00BD646F">
      <w:pPr>
        <w:pStyle w:val="Officelocationstyle"/>
      </w:pPr>
      <w:r w:rsidRPr="00FC4067">
        <w:t xml:space="preserve">Phone: </w:t>
      </w:r>
      <w:r w:rsidR="00C37B77">
        <w:t xml:space="preserve">07 </w:t>
      </w:r>
      <w:r w:rsidRPr="00FC4067">
        <w:t>4593 2200</w:t>
      </w:r>
    </w:p>
    <w:p w14:paraId="13A068BA" w14:textId="77777777" w:rsidR="00262886" w:rsidRPr="00FC4067" w:rsidRDefault="00262886" w:rsidP="00BD646F">
      <w:pPr>
        <w:pStyle w:val="Officelocationsheadings"/>
      </w:pPr>
      <w:r w:rsidRPr="00FC4067">
        <w:t xml:space="preserve">Chinchilla </w:t>
      </w:r>
    </w:p>
    <w:p w14:paraId="0BDE738D" w14:textId="77777777" w:rsidR="00262886" w:rsidRPr="00FC4067" w:rsidRDefault="00262886" w:rsidP="00BD646F">
      <w:pPr>
        <w:pStyle w:val="Officelocationstyle"/>
      </w:pPr>
      <w:r w:rsidRPr="00FC4067">
        <w:t>Leichardt Street</w:t>
      </w:r>
    </w:p>
    <w:p w14:paraId="7003A2BD" w14:textId="77777777" w:rsidR="00262886" w:rsidRPr="00FC4067" w:rsidRDefault="00262886" w:rsidP="00BD646F">
      <w:pPr>
        <w:pStyle w:val="Officelocationstyle"/>
      </w:pPr>
      <w:r w:rsidRPr="00FC4067">
        <w:t>Chinchilla Qld 4470</w:t>
      </w:r>
    </w:p>
    <w:p w14:paraId="5687278B" w14:textId="3B4B0D43" w:rsidR="00262886" w:rsidRPr="00FC4067" w:rsidRDefault="00262886" w:rsidP="00BD646F">
      <w:pPr>
        <w:pStyle w:val="Officelocationstyle"/>
      </w:pPr>
      <w:r w:rsidRPr="00FC4067">
        <w:t xml:space="preserve">Phone/Fax: </w:t>
      </w:r>
      <w:r w:rsidR="00C37B77">
        <w:t xml:space="preserve">07 </w:t>
      </w:r>
      <w:r w:rsidRPr="00FC4067">
        <w:t>4668 9884</w:t>
      </w:r>
    </w:p>
    <w:p w14:paraId="1A04D524" w14:textId="77777777" w:rsidR="00262886" w:rsidRPr="00FC4067" w:rsidRDefault="00262886" w:rsidP="00BD646F">
      <w:pPr>
        <w:pStyle w:val="Officelocationsheadings"/>
      </w:pPr>
      <w:r w:rsidRPr="00FC4067">
        <w:t xml:space="preserve">Roma </w:t>
      </w:r>
    </w:p>
    <w:p w14:paraId="46719128" w14:textId="77777777" w:rsidR="00262886" w:rsidRPr="00FC4067" w:rsidRDefault="00262886" w:rsidP="00BD646F">
      <w:pPr>
        <w:pStyle w:val="Officelocationstyle"/>
      </w:pPr>
      <w:r w:rsidRPr="00FC4067">
        <w:t>62 Arthur Street</w:t>
      </w:r>
    </w:p>
    <w:p w14:paraId="0DDA8586" w14:textId="77777777" w:rsidR="00262886" w:rsidRPr="00FC4067" w:rsidRDefault="00262886" w:rsidP="00BD646F">
      <w:pPr>
        <w:pStyle w:val="Officelocationstyle"/>
      </w:pPr>
      <w:r w:rsidRPr="00FC4067">
        <w:t>Roma Qld 4455</w:t>
      </w:r>
    </w:p>
    <w:p w14:paraId="13411EEE" w14:textId="4A7FE244" w:rsidR="00262886" w:rsidRPr="00FC4067" w:rsidRDefault="00262886" w:rsidP="00BD646F">
      <w:pPr>
        <w:pStyle w:val="Officelocationstyle"/>
      </w:pPr>
      <w:r w:rsidRPr="00FC4067">
        <w:t xml:space="preserve">Phone: </w:t>
      </w:r>
      <w:r w:rsidR="00C37B77">
        <w:t xml:space="preserve">07 </w:t>
      </w:r>
      <w:r w:rsidRPr="00FC4067">
        <w:t>4578 4000</w:t>
      </w:r>
    </w:p>
    <w:p w14:paraId="444C3B3F" w14:textId="77777777" w:rsidR="00262886" w:rsidRPr="00FC4067" w:rsidRDefault="00262886" w:rsidP="00BD646F">
      <w:pPr>
        <w:pStyle w:val="Officelocationstyle"/>
      </w:pPr>
      <w:r w:rsidRPr="00FC4067">
        <w:t>Central Queensland</w:t>
      </w:r>
    </w:p>
    <w:p w14:paraId="3B89AEDD" w14:textId="77777777" w:rsidR="00262886" w:rsidRPr="00FC4067" w:rsidRDefault="00262886" w:rsidP="00792F33">
      <w:pPr>
        <w:pStyle w:val="Heading3"/>
      </w:pPr>
      <w:r w:rsidRPr="00FC4067">
        <w:t>Central Queensland Regional Office</w:t>
      </w:r>
    </w:p>
    <w:p w14:paraId="2C0618FF" w14:textId="77777777" w:rsidR="00262886" w:rsidRPr="00FC4067" w:rsidRDefault="00262886" w:rsidP="00BD646F">
      <w:pPr>
        <w:pStyle w:val="Officelocationsheadings"/>
      </w:pPr>
      <w:r w:rsidRPr="00FC4067">
        <w:t>Rockhampton</w:t>
      </w:r>
    </w:p>
    <w:p w14:paraId="00F9B7C5" w14:textId="77777777" w:rsidR="00262886" w:rsidRPr="00FC4067" w:rsidRDefault="00262886" w:rsidP="00BD646F">
      <w:pPr>
        <w:pStyle w:val="Officelocationstyle"/>
      </w:pPr>
      <w:r w:rsidRPr="00FC4067">
        <w:t>149 Bolsover Street</w:t>
      </w:r>
    </w:p>
    <w:p w14:paraId="070BBED6" w14:textId="77777777" w:rsidR="00262886" w:rsidRPr="00FC4067" w:rsidRDefault="00262886" w:rsidP="00BD646F">
      <w:pPr>
        <w:pStyle w:val="Officelocationstyle"/>
      </w:pPr>
      <w:r w:rsidRPr="00FC4067">
        <w:t>PO Box 247</w:t>
      </w:r>
    </w:p>
    <w:p w14:paraId="68A4C90B" w14:textId="77777777" w:rsidR="00262886" w:rsidRPr="00FC4067" w:rsidRDefault="00262886" w:rsidP="00BD646F">
      <w:pPr>
        <w:pStyle w:val="Officelocationstyle"/>
      </w:pPr>
      <w:r w:rsidRPr="00FC4067">
        <w:t>Rockhampton 4700</w:t>
      </w:r>
    </w:p>
    <w:p w14:paraId="14C1A445" w14:textId="012D3FC0" w:rsidR="00262886" w:rsidRPr="00FC4067" w:rsidRDefault="00262886" w:rsidP="00BD646F">
      <w:pPr>
        <w:pStyle w:val="Officelocationstyle"/>
      </w:pPr>
      <w:r w:rsidRPr="00FC4067">
        <w:t xml:space="preserve">Phone: </w:t>
      </w:r>
      <w:r w:rsidR="00C37B77">
        <w:t xml:space="preserve">07 </w:t>
      </w:r>
      <w:r w:rsidRPr="00FC4067">
        <w:t>4838 9600</w:t>
      </w:r>
    </w:p>
    <w:p w14:paraId="63C7B133" w14:textId="7721B158" w:rsidR="00262886" w:rsidRPr="00FC4067" w:rsidRDefault="00262886" w:rsidP="00BD646F">
      <w:pPr>
        <w:pStyle w:val="Officelocationstyle"/>
      </w:pPr>
      <w:r w:rsidRPr="00FC4067">
        <w:t xml:space="preserve">Fax: </w:t>
      </w:r>
      <w:r w:rsidR="00C37B77">
        <w:t xml:space="preserve">07 </w:t>
      </w:r>
      <w:r w:rsidRPr="00FC4067">
        <w:t>4938 4831 </w:t>
      </w:r>
    </w:p>
    <w:p w14:paraId="7EE5CBF6" w14:textId="77777777" w:rsidR="00262886" w:rsidRPr="00FC4067" w:rsidRDefault="00262886" w:rsidP="00BD646F">
      <w:pPr>
        <w:pStyle w:val="Officelocationstyle"/>
      </w:pPr>
    </w:p>
    <w:p w14:paraId="50CEA5C9" w14:textId="77777777" w:rsidR="00262886" w:rsidRPr="00FC4067" w:rsidRDefault="00262886" w:rsidP="00BD646F">
      <w:pPr>
        <w:pStyle w:val="Officelocationsheadings"/>
        <w:rPr>
          <w:u w:val="single"/>
        </w:rPr>
      </w:pPr>
      <w:r w:rsidRPr="00FC4067">
        <w:rPr>
          <w:u w:val="single"/>
        </w:rPr>
        <w:t>District Offices</w:t>
      </w:r>
    </w:p>
    <w:p w14:paraId="22BAEEF5" w14:textId="77777777" w:rsidR="00262886" w:rsidRPr="00FC4067" w:rsidRDefault="00262886" w:rsidP="00BD646F">
      <w:pPr>
        <w:pStyle w:val="Officelocationstyle"/>
      </w:pPr>
    </w:p>
    <w:p w14:paraId="786DE5CC" w14:textId="77777777" w:rsidR="00262886" w:rsidRPr="00FC4067" w:rsidRDefault="00262886" w:rsidP="00BD646F">
      <w:pPr>
        <w:pStyle w:val="Officelocationsheadings"/>
      </w:pPr>
      <w:r w:rsidRPr="00FC4067">
        <w:t xml:space="preserve">Emerald </w:t>
      </w:r>
    </w:p>
    <w:p w14:paraId="2B15B72D" w14:textId="77777777" w:rsidR="00262886" w:rsidRPr="00FC4067" w:rsidRDefault="00262886" w:rsidP="00BD646F">
      <w:pPr>
        <w:pStyle w:val="Officelocationstyle"/>
      </w:pPr>
      <w:r w:rsidRPr="00FC4067">
        <w:t>14 McKenzie Street</w:t>
      </w:r>
    </w:p>
    <w:p w14:paraId="7B20FAC2" w14:textId="77777777" w:rsidR="00262886" w:rsidRPr="00FC4067" w:rsidRDefault="00262886" w:rsidP="00BD646F">
      <w:pPr>
        <w:pStyle w:val="Officelocationstyle"/>
      </w:pPr>
      <w:r w:rsidRPr="00FC4067">
        <w:t>PO Box 1012</w:t>
      </w:r>
    </w:p>
    <w:p w14:paraId="3B40D445" w14:textId="77777777" w:rsidR="00262886" w:rsidRPr="00FC4067" w:rsidRDefault="00262886" w:rsidP="00BD646F">
      <w:pPr>
        <w:pStyle w:val="Officelocationstyle"/>
      </w:pPr>
      <w:r w:rsidRPr="00FC4067">
        <w:t>Emerald 4720</w:t>
      </w:r>
    </w:p>
    <w:p w14:paraId="411C3535" w14:textId="17A11890" w:rsidR="00262886" w:rsidRPr="00FC4067" w:rsidRDefault="00262886" w:rsidP="00BD646F">
      <w:pPr>
        <w:pStyle w:val="Officelocationstyle"/>
      </w:pPr>
      <w:r w:rsidRPr="00FC4067">
        <w:t xml:space="preserve">Phone: </w:t>
      </w:r>
      <w:r w:rsidR="00C37B77">
        <w:t xml:space="preserve">07 </w:t>
      </w:r>
      <w:r w:rsidRPr="00FC4067">
        <w:t xml:space="preserve">4988 1204 </w:t>
      </w:r>
    </w:p>
    <w:p w14:paraId="7231F96F" w14:textId="04A31C52" w:rsidR="00262886" w:rsidRPr="00FC4067" w:rsidRDefault="00262886" w:rsidP="00BD646F">
      <w:pPr>
        <w:pStyle w:val="Officelocationstyle"/>
      </w:pPr>
      <w:r w:rsidRPr="00FC4067">
        <w:t>Fax: 4983 7451</w:t>
      </w:r>
    </w:p>
    <w:p w14:paraId="023B0699" w14:textId="77777777" w:rsidR="00262886" w:rsidRPr="00FC4067" w:rsidRDefault="00262886" w:rsidP="00BD646F">
      <w:pPr>
        <w:pStyle w:val="Officelocationstyle"/>
      </w:pPr>
    </w:p>
    <w:p w14:paraId="2D78C505" w14:textId="77777777" w:rsidR="00262886" w:rsidRPr="00FC4067" w:rsidRDefault="00262886" w:rsidP="00BD646F">
      <w:pPr>
        <w:pStyle w:val="Officelocationsheadings"/>
      </w:pPr>
      <w:r w:rsidRPr="00FC4067">
        <w:t xml:space="preserve">Gladstone </w:t>
      </w:r>
    </w:p>
    <w:p w14:paraId="0D2B1575" w14:textId="77777777" w:rsidR="00262886" w:rsidRPr="00FC4067" w:rsidRDefault="00262886" w:rsidP="00BD646F">
      <w:pPr>
        <w:pStyle w:val="Officelocationstyle"/>
      </w:pPr>
      <w:r w:rsidRPr="00FC4067">
        <w:t xml:space="preserve">7 Soppa Street </w:t>
      </w:r>
    </w:p>
    <w:p w14:paraId="48E2DC4E" w14:textId="77777777" w:rsidR="00262886" w:rsidRPr="00FC4067" w:rsidRDefault="00262886" w:rsidP="00BD646F">
      <w:pPr>
        <w:pStyle w:val="Officelocationstyle"/>
      </w:pPr>
      <w:r w:rsidRPr="00FC4067">
        <w:t xml:space="preserve">Gladstone Qld 4680 </w:t>
      </w:r>
    </w:p>
    <w:p w14:paraId="422A7C05" w14:textId="35FA333E" w:rsidR="00262886" w:rsidRPr="00FC4067" w:rsidRDefault="00262886" w:rsidP="00BD646F">
      <w:pPr>
        <w:pStyle w:val="Officelocationstyle"/>
      </w:pPr>
      <w:r w:rsidRPr="00FC4067">
        <w:t xml:space="preserve">Phone: </w:t>
      </w:r>
      <w:r w:rsidR="00C37B77">
        <w:t xml:space="preserve">07 </w:t>
      </w:r>
      <w:r w:rsidRPr="00FC4067">
        <w:t>4977 7103</w:t>
      </w:r>
    </w:p>
    <w:p w14:paraId="72E4A3EE" w14:textId="3839AE03" w:rsidR="00262886" w:rsidRPr="00FC4067" w:rsidRDefault="00262886" w:rsidP="00BD646F">
      <w:pPr>
        <w:pStyle w:val="Officelocationstyle"/>
      </w:pPr>
      <w:r w:rsidRPr="00FC4067">
        <w:lastRenderedPageBreak/>
        <w:t xml:space="preserve">Fax: </w:t>
      </w:r>
      <w:r w:rsidR="00C37B77">
        <w:t xml:space="preserve">07 </w:t>
      </w:r>
      <w:r w:rsidRPr="00FC4067">
        <w:t>4979 2155</w:t>
      </w:r>
    </w:p>
    <w:p w14:paraId="4871D2AD" w14:textId="77777777" w:rsidR="00262886" w:rsidRPr="00FC4067" w:rsidRDefault="00262886" w:rsidP="00BD646F">
      <w:pPr>
        <w:pStyle w:val="Officelocationstyle"/>
      </w:pPr>
    </w:p>
    <w:p w14:paraId="51AC225E" w14:textId="77777777" w:rsidR="00262886" w:rsidRPr="00FC4067" w:rsidRDefault="00262886" w:rsidP="00BD646F">
      <w:pPr>
        <w:pStyle w:val="Officelocationsheadings"/>
      </w:pPr>
      <w:r w:rsidRPr="00FC4067">
        <w:t xml:space="preserve">Mackay </w:t>
      </w:r>
    </w:p>
    <w:p w14:paraId="53AF6316" w14:textId="77777777" w:rsidR="00262886" w:rsidRPr="00FC4067" w:rsidRDefault="00262886" w:rsidP="00BD646F">
      <w:pPr>
        <w:pStyle w:val="Officelocationstyle"/>
      </w:pPr>
      <w:r w:rsidRPr="00FC4067">
        <w:t>36 Tennyson Street</w:t>
      </w:r>
    </w:p>
    <w:p w14:paraId="0A793543" w14:textId="77777777" w:rsidR="00262886" w:rsidRPr="00FC4067" w:rsidRDefault="00262886" w:rsidP="00BD646F">
      <w:pPr>
        <w:pStyle w:val="Officelocationstyle"/>
      </w:pPr>
      <w:r w:rsidRPr="00FC4067">
        <w:t>PO Box 86</w:t>
      </w:r>
    </w:p>
    <w:p w14:paraId="66FCFEE3" w14:textId="77777777" w:rsidR="00262886" w:rsidRPr="00FC4067" w:rsidRDefault="00262886" w:rsidP="00BD646F">
      <w:pPr>
        <w:pStyle w:val="Officelocationstyle"/>
      </w:pPr>
      <w:r w:rsidRPr="00FC4067">
        <w:t xml:space="preserve">Mackay Qld 4740 </w:t>
      </w:r>
    </w:p>
    <w:p w14:paraId="12CB4979" w14:textId="0E10910F" w:rsidR="00262886" w:rsidRPr="00FC4067" w:rsidRDefault="00262886" w:rsidP="00BD646F">
      <w:pPr>
        <w:pStyle w:val="Officelocationstyle"/>
      </w:pPr>
      <w:r w:rsidRPr="00FC4067">
        <w:t xml:space="preserve">Phone: </w:t>
      </w:r>
      <w:r w:rsidR="00C37B77">
        <w:t xml:space="preserve">07 </w:t>
      </w:r>
      <w:r w:rsidRPr="00FC4067">
        <w:t>4862 7500</w:t>
      </w:r>
    </w:p>
    <w:p w14:paraId="1BCE55DD" w14:textId="1C0F4F0D" w:rsidR="00262886" w:rsidRPr="00FC4067" w:rsidRDefault="00262886" w:rsidP="00BD646F">
      <w:pPr>
        <w:pStyle w:val="Officelocationstyle"/>
      </w:pPr>
      <w:r w:rsidRPr="00FC4067">
        <w:t xml:space="preserve">Fax: </w:t>
      </w:r>
      <w:r w:rsidR="00C37B77">
        <w:t xml:space="preserve">07 </w:t>
      </w:r>
      <w:r w:rsidRPr="00FC4067">
        <w:t>4967 1031</w:t>
      </w:r>
    </w:p>
    <w:p w14:paraId="2052F622" w14:textId="77777777" w:rsidR="00490134" w:rsidRPr="00FC4067" w:rsidRDefault="00490134" w:rsidP="00BD646F">
      <w:pPr>
        <w:pStyle w:val="Officelocationstyle"/>
      </w:pPr>
    </w:p>
    <w:p w14:paraId="55C0CDE2" w14:textId="256B4C18" w:rsidR="00262886" w:rsidRPr="00FC4067" w:rsidRDefault="00262886" w:rsidP="00BD646F">
      <w:pPr>
        <w:pStyle w:val="Officelocationsheadings"/>
      </w:pPr>
      <w:r w:rsidRPr="00FC4067">
        <w:t xml:space="preserve">Longreach </w:t>
      </w:r>
    </w:p>
    <w:p w14:paraId="60A745B2" w14:textId="77777777" w:rsidR="00262886" w:rsidRPr="00FC4067" w:rsidRDefault="00262886" w:rsidP="00BD646F">
      <w:pPr>
        <w:pStyle w:val="Officelocationstyle"/>
      </w:pPr>
      <w:r w:rsidRPr="00FC4067">
        <w:t>91 Galah Street</w:t>
      </w:r>
    </w:p>
    <w:p w14:paraId="0C299B67" w14:textId="77777777" w:rsidR="00262886" w:rsidRPr="00FC4067" w:rsidRDefault="00262886" w:rsidP="00BD646F">
      <w:pPr>
        <w:pStyle w:val="Officelocationstyle"/>
      </w:pPr>
      <w:r w:rsidRPr="00FC4067">
        <w:t>Longreach Qld 4730</w:t>
      </w:r>
    </w:p>
    <w:p w14:paraId="333B7AD0" w14:textId="118F6583" w:rsidR="00262886" w:rsidRPr="00FC4067" w:rsidRDefault="00262886" w:rsidP="00BD646F">
      <w:pPr>
        <w:pStyle w:val="Officelocationstyle"/>
      </w:pPr>
      <w:r w:rsidRPr="00FC4067">
        <w:t xml:space="preserve">Phone: </w:t>
      </w:r>
      <w:r w:rsidR="00C37B77">
        <w:t xml:space="preserve">07 </w:t>
      </w:r>
      <w:r w:rsidRPr="00FC4067">
        <w:t>4658 3718</w:t>
      </w:r>
    </w:p>
    <w:p w14:paraId="0BE3407A" w14:textId="77777777" w:rsidR="00262886" w:rsidRPr="00912E38" w:rsidRDefault="00262886" w:rsidP="00BD646F">
      <w:pPr>
        <w:shd w:val="clear" w:color="auto" w:fill="FFFFFF" w:themeFill="background1"/>
        <w:textAlignment w:val="baseline"/>
        <w:outlineLvl w:val="3"/>
        <w:rPr>
          <w:b/>
          <w:u w:val="single"/>
        </w:rPr>
      </w:pPr>
      <w:r w:rsidRPr="00912E38">
        <w:rPr>
          <w:b/>
          <w:u w:val="single"/>
        </w:rPr>
        <w:t>Depots</w:t>
      </w:r>
    </w:p>
    <w:p w14:paraId="282D43AA" w14:textId="383BD792" w:rsidR="00262886" w:rsidRPr="00FC4067" w:rsidRDefault="00262886" w:rsidP="00BD646F">
      <w:pPr>
        <w:pStyle w:val="Officelocationsheadings"/>
      </w:pPr>
      <w:r w:rsidRPr="00FC4067">
        <w:t>Bowen</w:t>
      </w:r>
    </w:p>
    <w:p w14:paraId="6B89A533" w14:textId="77777777" w:rsidR="00262886" w:rsidRPr="00FC4067" w:rsidRDefault="00262886" w:rsidP="00BD646F">
      <w:pPr>
        <w:pStyle w:val="Officelocationstyle"/>
      </w:pPr>
      <w:r w:rsidRPr="00FC4067">
        <w:t>Lot 303, Beach Avenue Queens Beach</w:t>
      </w:r>
    </w:p>
    <w:p w14:paraId="1A938A91" w14:textId="77777777" w:rsidR="00262886" w:rsidRPr="00FC4067" w:rsidRDefault="00262886" w:rsidP="00BD646F">
      <w:pPr>
        <w:pStyle w:val="Officelocationstyle"/>
      </w:pPr>
      <w:r w:rsidRPr="00FC4067">
        <w:t>Bowen Qld 4805</w:t>
      </w:r>
    </w:p>
    <w:p w14:paraId="57CF49BB" w14:textId="77777777" w:rsidR="00262886" w:rsidRPr="00FC4067" w:rsidRDefault="00262886" w:rsidP="00BD646F">
      <w:pPr>
        <w:pStyle w:val="Officelocationstyle"/>
      </w:pPr>
      <w:r w:rsidRPr="00FC4067">
        <w:t>North Queensland</w:t>
      </w:r>
    </w:p>
    <w:p w14:paraId="464C65D2" w14:textId="77777777" w:rsidR="00262886" w:rsidRPr="00FC4067" w:rsidRDefault="00262886" w:rsidP="00BD646F">
      <w:pPr>
        <w:pStyle w:val="Officelocationsheadings"/>
      </w:pPr>
      <w:r w:rsidRPr="00FC4067">
        <w:t>North Queensland Regional Office</w:t>
      </w:r>
    </w:p>
    <w:p w14:paraId="7BEB0FCA" w14:textId="77777777" w:rsidR="00262886" w:rsidRPr="00FC4067" w:rsidRDefault="00262886" w:rsidP="00BD646F">
      <w:pPr>
        <w:pStyle w:val="Officelocationstyle"/>
      </w:pPr>
      <w:r w:rsidRPr="00FC4067">
        <w:t>9-15 Langton Street</w:t>
      </w:r>
    </w:p>
    <w:p w14:paraId="03C9A4CF" w14:textId="77777777" w:rsidR="00262886" w:rsidRPr="00FC4067" w:rsidRDefault="00262886" w:rsidP="00BD646F">
      <w:pPr>
        <w:pStyle w:val="Officelocationstyle"/>
      </w:pPr>
      <w:r w:rsidRPr="00FC4067">
        <w:t>Garbutt Qld 4814</w:t>
      </w:r>
    </w:p>
    <w:p w14:paraId="69C44661" w14:textId="77777777" w:rsidR="00262886" w:rsidRPr="00FC4067" w:rsidRDefault="00262886" w:rsidP="00BD646F">
      <w:pPr>
        <w:pStyle w:val="Officelocationstyle"/>
      </w:pPr>
      <w:r w:rsidRPr="00FC4067">
        <w:t>PO Box 561</w:t>
      </w:r>
    </w:p>
    <w:p w14:paraId="29CCE562" w14:textId="77777777" w:rsidR="00262886" w:rsidRPr="00FC4067" w:rsidRDefault="00262886" w:rsidP="00BD646F">
      <w:pPr>
        <w:pStyle w:val="Officelocationstyle"/>
      </w:pPr>
      <w:r w:rsidRPr="00FC4067">
        <w:t>Townsville Qld 4810</w:t>
      </w:r>
    </w:p>
    <w:p w14:paraId="3488BAE4" w14:textId="3BA421AD" w:rsidR="00262886" w:rsidRPr="00FC4067" w:rsidRDefault="00262886" w:rsidP="00BD646F">
      <w:pPr>
        <w:pStyle w:val="Officelocationstyle"/>
      </w:pPr>
      <w:r w:rsidRPr="00FC4067">
        <w:t xml:space="preserve">Phone: </w:t>
      </w:r>
      <w:r w:rsidR="00C37B77">
        <w:t xml:space="preserve">07 </w:t>
      </w:r>
      <w:r w:rsidRPr="00FC4067">
        <w:t>4412 2300</w:t>
      </w:r>
    </w:p>
    <w:p w14:paraId="7C7691F1" w14:textId="2AE66E07" w:rsidR="00262886" w:rsidRPr="00FC4067" w:rsidRDefault="00262886" w:rsidP="00BD646F">
      <w:pPr>
        <w:pStyle w:val="Officelocationstyle"/>
      </w:pPr>
      <w:r w:rsidRPr="00FC4067">
        <w:t xml:space="preserve">Fax: </w:t>
      </w:r>
      <w:r w:rsidR="00C37B77">
        <w:t xml:space="preserve">07 </w:t>
      </w:r>
      <w:r w:rsidRPr="00FC4067">
        <w:t>4799 5401 </w:t>
      </w:r>
    </w:p>
    <w:p w14:paraId="14402A6B" w14:textId="77777777" w:rsidR="00BD646F" w:rsidRPr="00FC4067" w:rsidRDefault="00BD646F" w:rsidP="00BD646F">
      <w:pPr>
        <w:pStyle w:val="Officelocationstyle"/>
      </w:pPr>
    </w:p>
    <w:p w14:paraId="6BC9D7F0" w14:textId="77777777" w:rsidR="00262886" w:rsidRPr="00FC4067" w:rsidRDefault="00262886" w:rsidP="00BD646F">
      <w:pPr>
        <w:pStyle w:val="Officelocationsheadings"/>
        <w:rPr>
          <w:u w:val="single"/>
        </w:rPr>
      </w:pPr>
      <w:r w:rsidRPr="00FC4067">
        <w:rPr>
          <w:u w:val="single"/>
        </w:rPr>
        <w:t>District Offices</w:t>
      </w:r>
    </w:p>
    <w:p w14:paraId="4D5FE81C" w14:textId="77777777" w:rsidR="00262886" w:rsidRPr="00FC4067" w:rsidRDefault="00262886" w:rsidP="00BD646F">
      <w:pPr>
        <w:pStyle w:val="Officelocationsheadings"/>
      </w:pPr>
      <w:r w:rsidRPr="00FC4067">
        <w:t xml:space="preserve">Mount Isa </w:t>
      </w:r>
    </w:p>
    <w:p w14:paraId="735866D1" w14:textId="77777777" w:rsidR="00262886" w:rsidRPr="00FC4067" w:rsidRDefault="00262886" w:rsidP="00BD646F">
      <w:pPr>
        <w:pStyle w:val="Officelocationstyle"/>
      </w:pPr>
      <w:r w:rsidRPr="00FC4067">
        <w:t xml:space="preserve">5 Traders Way </w:t>
      </w:r>
    </w:p>
    <w:p w14:paraId="216D484E" w14:textId="77777777" w:rsidR="00262886" w:rsidRPr="00FC4067" w:rsidRDefault="00262886" w:rsidP="00BD646F">
      <w:pPr>
        <w:pStyle w:val="Officelocationstyle"/>
      </w:pPr>
      <w:r w:rsidRPr="00FC4067">
        <w:t>Sunset Qld 4825</w:t>
      </w:r>
    </w:p>
    <w:p w14:paraId="787B8CDC" w14:textId="77777777" w:rsidR="00262886" w:rsidRPr="00FC4067" w:rsidRDefault="00262886" w:rsidP="00BD646F">
      <w:pPr>
        <w:pStyle w:val="Officelocationstyle"/>
      </w:pPr>
      <w:r w:rsidRPr="00FC4067">
        <w:t>PO Box 1659</w:t>
      </w:r>
    </w:p>
    <w:p w14:paraId="36D7BA6D" w14:textId="77777777" w:rsidR="00262886" w:rsidRPr="00FC4067" w:rsidRDefault="00262886" w:rsidP="00BD646F">
      <w:pPr>
        <w:pStyle w:val="Officelocationstyle"/>
      </w:pPr>
      <w:r w:rsidRPr="00FC4067">
        <w:t>Mount Isa Qld 4825</w:t>
      </w:r>
    </w:p>
    <w:p w14:paraId="0D17ADA9" w14:textId="727F8820" w:rsidR="00262886" w:rsidRPr="00FC4067" w:rsidRDefault="00262886" w:rsidP="00BD646F">
      <w:pPr>
        <w:pStyle w:val="Officelocationstyle"/>
      </w:pPr>
      <w:r w:rsidRPr="00FC4067">
        <w:t xml:space="preserve">Phone: </w:t>
      </w:r>
      <w:r w:rsidR="00C37B77">
        <w:t xml:space="preserve">07 </w:t>
      </w:r>
      <w:r w:rsidRPr="00FC4067">
        <w:t>4437 2520</w:t>
      </w:r>
    </w:p>
    <w:p w14:paraId="606DD980" w14:textId="5EE5425F" w:rsidR="00262886" w:rsidRPr="00FC4067" w:rsidRDefault="00262886" w:rsidP="00BD646F">
      <w:pPr>
        <w:pStyle w:val="Officelocationstyle"/>
      </w:pPr>
      <w:r w:rsidRPr="00FC4067">
        <w:t xml:space="preserve">Fax: </w:t>
      </w:r>
      <w:r w:rsidR="00C37B77">
        <w:t xml:space="preserve">07 </w:t>
      </w:r>
      <w:r w:rsidRPr="00FC4067">
        <w:t>4747 2777</w:t>
      </w:r>
    </w:p>
    <w:p w14:paraId="6F60CD41" w14:textId="77777777" w:rsidR="00262886" w:rsidRPr="00FC4067" w:rsidRDefault="00262886" w:rsidP="00BD646F">
      <w:pPr>
        <w:pStyle w:val="Officelocationsheadings"/>
        <w:rPr>
          <w:u w:val="single"/>
        </w:rPr>
      </w:pPr>
      <w:r w:rsidRPr="00FC4067">
        <w:rPr>
          <w:u w:val="single"/>
        </w:rPr>
        <w:t>Depots</w:t>
      </w:r>
    </w:p>
    <w:p w14:paraId="6FAF31B8" w14:textId="77777777" w:rsidR="00262886" w:rsidRPr="00FC4067" w:rsidRDefault="00262886" w:rsidP="00BD646F">
      <w:pPr>
        <w:pStyle w:val="Officelocationsheadings"/>
      </w:pPr>
      <w:r w:rsidRPr="00FC4067">
        <w:t xml:space="preserve">Ayr </w:t>
      </w:r>
    </w:p>
    <w:p w14:paraId="2F134A78" w14:textId="77777777" w:rsidR="00262886" w:rsidRPr="00FC4067" w:rsidRDefault="00262886" w:rsidP="00BD646F">
      <w:pPr>
        <w:pStyle w:val="Officelocationstyle"/>
      </w:pPr>
      <w:r w:rsidRPr="00FC4067">
        <w:t>203 Edward Street (cnr Churchill St)</w:t>
      </w:r>
    </w:p>
    <w:p w14:paraId="121CA35B" w14:textId="77777777" w:rsidR="00262886" w:rsidRPr="00FC4067" w:rsidRDefault="00262886" w:rsidP="00BD646F">
      <w:pPr>
        <w:pStyle w:val="Officelocationstyle"/>
      </w:pPr>
      <w:r w:rsidRPr="00FC4067">
        <w:t>Ayr Qld 4807</w:t>
      </w:r>
    </w:p>
    <w:p w14:paraId="6FB391A7" w14:textId="395712A7" w:rsidR="00262886" w:rsidRPr="00FC4067" w:rsidRDefault="00262886" w:rsidP="00BD646F">
      <w:pPr>
        <w:pStyle w:val="Officelocationstyle"/>
      </w:pPr>
      <w:r w:rsidRPr="00FC4067">
        <w:t xml:space="preserve">Phone: </w:t>
      </w:r>
      <w:r w:rsidR="00C37B77">
        <w:t xml:space="preserve">07 </w:t>
      </w:r>
      <w:r w:rsidRPr="00FC4067">
        <w:t>4783 5367</w:t>
      </w:r>
    </w:p>
    <w:p w14:paraId="56E7AB54" w14:textId="7DC28328" w:rsidR="00262886" w:rsidRPr="00FC4067" w:rsidRDefault="00262886" w:rsidP="00BD646F">
      <w:pPr>
        <w:pStyle w:val="Officelocationstyle"/>
      </w:pPr>
      <w:r w:rsidRPr="00FC4067">
        <w:t xml:space="preserve">Fax: </w:t>
      </w:r>
      <w:r w:rsidR="00C37B77">
        <w:t xml:space="preserve">07 </w:t>
      </w:r>
      <w:r w:rsidRPr="00FC4067">
        <w:t>4783 5179</w:t>
      </w:r>
    </w:p>
    <w:p w14:paraId="10A49281" w14:textId="77777777" w:rsidR="00262886" w:rsidRPr="00FC4067" w:rsidRDefault="00262886" w:rsidP="00BD646F">
      <w:pPr>
        <w:pStyle w:val="Officelocationsheadings"/>
      </w:pPr>
      <w:r w:rsidRPr="00FC4067">
        <w:t xml:space="preserve">Charters Towers </w:t>
      </w:r>
    </w:p>
    <w:p w14:paraId="1495224D" w14:textId="77777777" w:rsidR="00262886" w:rsidRPr="00FC4067" w:rsidRDefault="00262886" w:rsidP="00BD646F">
      <w:pPr>
        <w:pStyle w:val="Officelocationstyle"/>
      </w:pPr>
      <w:r w:rsidRPr="00FC4067">
        <w:t>Hodgkinson Street</w:t>
      </w:r>
    </w:p>
    <w:p w14:paraId="3851A9BB" w14:textId="77777777" w:rsidR="00262886" w:rsidRPr="00FC4067" w:rsidRDefault="00262886" w:rsidP="00BD646F">
      <w:pPr>
        <w:pStyle w:val="Officelocationstyle"/>
      </w:pPr>
      <w:r w:rsidRPr="00FC4067">
        <w:t>Charters Towers Qld 4820</w:t>
      </w:r>
    </w:p>
    <w:p w14:paraId="2FE948E5" w14:textId="1F857790" w:rsidR="00262886" w:rsidRPr="00FC4067" w:rsidRDefault="00262886" w:rsidP="00BD646F">
      <w:pPr>
        <w:pStyle w:val="Officelocationstyle"/>
      </w:pPr>
      <w:r w:rsidRPr="00FC4067">
        <w:t xml:space="preserve">Phone: </w:t>
      </w:r>
      <w:r w:rsidR="00C37B77">
        <w:t xml:space="preserve">07 </w:t>
      </w:r>
      <w:r w:rsidRPr="00FC4067">
        <w:t>4787 2367</w:t>
      </w:r>
    </w:p>
    <w:p w14:paraId="239E4A7E" w14:textId="09525397" w:rsidR="00262886" w:rsidRPr="00FC4067" w:rsidRDefault="00262886" w:rsidP="00BD646F">
      <w:pPr>
        <w:pStyle w:val="Officelocationstyle"/>
      </w:pPr>
      <w:r w:rsidRPr="00FC4067">
        <w:t xml:space="preserve">Fax: </w:t>
      </w:r>
      <w:r w:rsidR="005D75B8">
        <w:t xml:space="preserve">07 </w:t>
      </w:r>
      <w:r w:rsidRPr="00FC4067">
        <w:t>4787 7415</w:t>
      </w:r>
    </w:p>
    <w:p w14:paraId="0A9C7A53" w14:textId="77777777" w:rsidR="00262886" w:rsidRPr="00FC4067" w:rsidRDefault="00262886" w:rsidP="00BD646F">
      <w:pPr>
        <w:pStyle w:val="Officelocationsheadings"/>
      </w:pPr>
      <w:r w:rsidRPr="00FC4067">
        <w:t xml:space="preserve">Doomadgee </w:t>
      </w:r>
    </w:p>
    <w:p w14:paraId="300D7E9F" w14:textId="77777777" w:rsidR="00262886" w:rsidRPr="00FC4067" w:rsidRDefault="00262886" w:rsidP="00BD646F">
      <w:pPr>
        <w:pStyle w:val="Officelocationstyle"/>
      </w:pPr>
      <w:r w:rsidRPr="00FC4067">
        <w:t>Goodeedawa Road</w:t>
      </w:r>
    </w:p>
    <w:p w14:paraId="10BF63A5" w14:textId="77777777" w:rsidR="00262886" w:rsidRPr="00FC4067" w:rsidRDefault="00262886" w:rsidP="00BD646F">
      <w:pPr>
        <w:pStyle w:val="Officelocationstyle"/>
      </w:pPr>
      <w:r w:rsidRPr="00FC4067">
        <w:t>Doomadgee Qld 4830</w:t>
      </w:r>
    </w:p>
    <w:p w14:paraId="195E682B" w14:textId="5453D050" w:rsidR="00262886" w:rsidRPr="00FC4067" w:rsidRDefault="00262886" w:rsidP="00BD646F">
      <w:pPr>
        <w:pStyle w:val="Officelocationstyle"/>
      </w:pPr>
      <w:r w:rsidRPr="00FC4067">
        <w:lastRenderedPageBreak/>
        <w:t xml:space="preserve">Phone: </w:t>
      </w:r>
      <w:r w:rsidR="005D75B8">
        <w:t xml:space="preserve">07 </w:t>
      </w:r>
      <w:r w:rsidRPr="00FC4067">
        <w:t>4745 8086</w:t>
      </w:r>
    </w:p>
    <w:p w14:paraId="55CEE813" w14:textId="13E2C86F" w:rsidR="00262886" w:rsidRPr="00FC4067" w:rsidRDefault="00262886" w:rsidP="00BD646F">
      <w:pPr>
        <w:pStyle w:val="Officelocationstyle"/>
      </w:pPr>
      <w:r w:rsidRPr="00FC4067">
        <w:t xml:space="preserve">Fax: </w:t>
      </w:r>
      <w:r w:rsidR="005D75B8">
        <w:t xml:space="preserve">07 </w:t>
      </w:r>
      <w:r w:rsidRPr="00FC4067">
        <w:t>4745 8043</w:t>
      </w:r>
    </w:p>
    <w:p w14:paraId="7DAA126A" w14:textId="4D4993F4" w:rsidR="00262886" w:rsidRPr="00FC4067" w:rsidRDefault="00262886" w:rsidP="00BD646F">
      <w:pPr>
        <w:pStyle w:val="Officelocationsheadings"/>
      </w:pPr>
      <w:r w:rsidRPr="00FC4067">
        <w:t xml:space="preserve">Ingham </w:t>
      </w:r>
    </w:p>
    <w:p w14:paraId="009173D5" w14:textId="77777777" w:rsidR="00262886" w:rsidRPr="00FC4067" w:rsidRDefault="00262886" w:rsidP="00BD646F">
      <w:pPr>
        <w:pStyle w:val="Officelocationstyle"/>
      </w:pPr>
      <w:r w:rsidRPr="00FC4067">
        <w:t>Palm Terrace</w:t>
      </w:r>
    </w:p>
    <w:p w14:paraId="671567A7" w14:textId="77777777" w:rsidR="00262886" w:rsidRPr="00FC4067" w:rsidRDefault="00262886" w:rsidP="00BD646F">
      <w:pPr>
        <w:pStyle w:val="Officelocationstyle"/>
      </w:pPr>
      <w:r w:rsidRPr="00FC4067">
        <w:t>Ingham Qld 4850</w:t>
      </w:r>
    </w:p>
    <w:p w14:paraId="3B365121" w14:textId="6D5AFBCB" w:rsidR="00262886" w:rsidRPr="00FC4067" w:rsidRDefault="00262886" w:rsidP="00BD646F">
      <w:pPr>
        <w:pStyle w:val="Officelocationstyle"/>
      </w:pPr>
      <w:r w:rsidRPr="00FC4067">
        <w:t xml:space="preserve">Phone: </w:t>
      </w:r>
      <w:r w:rsidR="000131A6">
        <w:t xml:space="preserve">07 </w:t>
      </w:r>
      <w:r w:rsidRPr="00FC4067">
        <w:t>4776 0972</w:t>
      </w:r>
    </w:p>
    <w:p w14:paraId="2DD32DAA" w14:textId="0A876AC8" w:rsidR="00262886" w:rsidRPr="00FC4067" w:rsidRDefault="00262886" w:rsidP="00BD646F">
      <w:pPr>
        <w:pStyle w:val="Officelocationstyle"/>
      </w:pPr>
      <w:r w:rsidRPr="00FC4067">
        <w:t xml:space="preserve">Fax: </w:t>
      </w:r>
      <w:r w:rsidR="000131A6">
        <w:t xml:space="preserve">07 </w:t>
      </w:r>
      <w:r w:rsidRPr="00FC4067">
        <w:t>4776 3193</w:t>
      </w:r>
    </w:p>
    <w:p w14:paraId="198BA1F6" w14:textId="77777777" w:rsidR="00262886" w:rsidRPr="00FC4067" w:rsidRDefault="00262886" w:rsidP="00BD646F">
      <w:pPr>
        <w:pStyle w:val="Officelocationsheadings"/>
      </w:pPr>
      <w:r w:rsidRPr="00FC4067">
        <w:t>Mornington Island</w:t>
      </w:r>
    </w:p>
    <w:p w14:paraId="1CD10D9F" w14:textId="77777777" w:rsidR="00262886" w:rsidRPr="00FC4067" w:rsidRDefault="00262886" w:rsidP="00BD646F">
      <w:pPr>
        <w:pStyle w:val="Officelocationstyle"/>
      </w:pPr>
      <w:r w:rsidRPr="00FC4067">
        <w:t>Lardil Street</w:t>
      </w:r>
    </w:p>
    <w:p w14:paraId="1B044988" w14:textId="77777777" w:rsidR="00262886" w:rsidRPr="00FC4067" w:rsidRDefault="00262886" w:rsidP="00BD646F">
      <w:pPr>
        <w:pStyle w:val="Officelocationstyle"/>
      </w:pPr>
      <w:r w:rsidRPr="00FC4067">
        <w:t>Gununa</w:t>
      </w:r>
    </w:p>
    <w:p w14:paraId="0E85A5CD" w14:textId="77777777" w:rsidR="00262886" w:rsidRPr="00FC4067" w:rsidRDefault="00262886" w:rsidP="00BD646F">
      <w:pPr>
        <w:pStyle w:val="Officelocationstyle"/>
      </w:pPr>
      <w:r w:rsidRPr="00FC4067">
        <w:t>Mornington Island Qld 4871</w:t>
      </w:r>
    </w:p>
    <w:p w14:paraId="38365036" w14:textId="77777777" w:rsidR="00262886" w:rsidRPr="00FC4067" w:rsidRDefault="00262886" w:rsidP="00BD646F">
      <w:pPr>
        <w:pStyle w:val="Officelocationstyle"/>
      </w:pPr>
      <w:r w:rsidRPr="00FC4067">
        <w:t>Phone/Fax: 4745 7381</w:t>
      </w:r>
    </w:p>
    <w:p w14:paraId="16AFFDF0" w14:textId="77777777" w:rsidR="00262886" w:rsidRPr="00FC4067" w:rsidRDefault="00262886" w:rsidP="00BD646F">
      <w:pPr>
        <w:pStyle w:val="Officelocationstyle"/>
      </w:pPr>
      <w:r w:rsidRPr="00FC4067">
        <w:t xml:space="preserve">Mount Isa </w:t>
      </w:r>
    </w:p>
    <w:p w14:paraId="78AD9D40" w14:textId="77777777" w:rsidR="00262886" w:rsidRPr="00FC4067" w:rsidRDefault="00262886" w:rsidP="00BD646F">
      <w:pPr>
        <w:pStyle w:val="Officelocationstyle"/>
      </w:pPr>
      <w:r w:rsidRPr="00FC4067">
        <w:t>5 Traders Way</w:t>
      </w:r>
    </w:p>
    <w:p w14:paraId="3776A1E0" w14:textId="77777777" w:rsidR="00262886" w:rsidRPr="00FC4067" w:rsidRDefault="00262886" w:rsidP="00BD646F">
      <w:pPr>
        <w:pStyle w:val="Officelocationstyle"/>
      </w:pPr>
      <w:r w:rsidRPr="00FC4067">
        <w:t>Sunset Qld 4825</w:t>
      </w:r>
    </w:p>
    <w:p w14:paraId="5D2CF181" w14:textId="3A7093D2" w:rsidR="00262886" w:rsidRPr="00FC4067" w:rsidRDefault="00262886" w:rsidP="00BD646F">
      <w:pPr>
        <w:pStyle w:val="Officelocationstyle"/>
      </w:pPr>
      <w:r w:rsidRPr="00FC4067">
        <w:t xml:space="preserve">Phone: </w:t>
      </w:r>
      <w:r w:rsidR="000131A6">
        <w:t xml:space="preserve">07 </w:t>
      </w:r>
      <w:r w:rsidRPr="00FC4067">
        <w:t>4437 2520</w:t>
      </w:r>
    </w:p>
    <w:p w14:paraId="2039C79E" w14:textId="6A68BFB8" w:rsidR="00262886" w:rsidRPr="00FC4067" w:rsidRDefault="00262886" w:rsidP="00BD646F">
      <w:pPr>
        <w:pStyle w:val="Officelocationstyle"/>
      </w:pPr>
      <w:r w:rsidRPr="00FC4067">
        <w:t xml:space="preserve">Fax: </w:t>
      </w:r>
      <w:r w:rsidR="000131A6">
        <w:t xml:space="preserve">07 </w:t>
      </w:r>
      <w:r w:rsidRPr="00FC4067">
        <w:t>4747 2777</w:t>
      </w:r>
    </w:p>
    <w:p w14:paraId="63ABC57F" w14:textId="77777777" w:rsidR="00262886" w:rsidRPr="00FC4067" w:rsidRDefault="00262886" w:rsidP="00BD646F">
      <w:pPr>
        <w:pStyle w:val="Officelocationsheadings"/>
      </w:pPr>
      <w:r w:rsidRPr="00FC4067">
        <w:t xml:space="preserve">Normanton </w:t>
      </w:r>
    </w:p>
    <w:p w14:paraId="4FC495D1" w14:textId="77777777" w:rsidR="00262886" w:rsidRPr="00FC4067" w:rsidRDefault="00262886" w:rsidP="00BD646F">
      <w:pPr>
        <w:pStyle w:val="Officelocationstyle"/>
      </w:pPr>
      <w:r w:rsidRPr="00FC4067">
        <w:t>7 Simpson Street</w:t>
      </w:r>
    </w:p>
    <w:p w14:paraId="43B4565B" w14:textId="77777777" w:rsidR="00262886" w:rsidRPr="00FC4067" w:rsidRDefault="00262886" w:rsidP="00BD646F">
      <w:pPr>
        <w:pStyle w:val="Officelocationstyle"/>
      </w:pPr>
      <w:r w:rsidRPr="00FC4067">
        <w:t>Normanton Qld 4890</w:t>
      </w:r>
    </w:p>
    <w:p w14:paraId="7861BC51" w14:textId="77777777" w:rsidR="00262886" w:rsidRPr="00FC4067" w:rsidRDefault="00262886" w:rsidP="00BD646F">
      <w:pPr>
        <w:pStyle w:val="Officelocationstyle"/>
      </w:pPr>
      <w:r w:rsidRPr="00FC4067">
        <w:t>Phone/Fax: 4745 1019</w:t>
      </w:r>
    </w:p>
    <w:p w14:paraId="588278C5" w14:textId="77777777" w:rsidR="00262886" w:rsidRPr="00FC4067" w:rsidRDefault="00262886" w:rsidP="00BD646F">
      <w:pPr>
        <w:pStyle w:val="Officelocationstyle"/>
      </w:pPr>
      <w:r w:rsidRPr="00FC4067">
        <w:t xml:space="preserve">Palm Island </w:t>
      </w:r>
    </w:p>
    <w:p w14:paraId="205FF576" w14:textId="77777777" w:rsidR="00262886" w:rsidRPr="00FC4067" w:rsidRDefault="00262886" w:rsidP="00BD646F">
      <w:pPr>
        <w:pStyle w:val="Officelocationstyle"/>
      </w:pPr>
      <w:r w:rsidRPr="00FC4067">
        <w:t xml:space="preserve">Butler Bay </w:t>
      </w:r>
    </w:p>
    <w:p w14:paraId="1C5865D1" w14:textId="77777777" w:rsidR="00262886" w:rsidRPr="00FC4067" w:rsidRDefault="00262886" w:rsidP="00BD646F">
      <w:pPr>
        <w:pStyle w:val="Officelocationstyle"/>
      </w:pPr>
      <w:r w:rsidRPr="00FC4067">
        <w:t>Palm Island Qld 4816</w:t>
      </w:r>
    </w:p>
    <w:p w14:paraId="0646D460" w14:textId="4A15D731" w:rsidR="00262886" w:rsidRPr="00FC4067" w:rsidRDefault="00262886" w:rsidP="00BD646F">
      <w:pPr>
        <w:pStyle w:val="Officelocationstyle"/>
      </w:pPr>
      <w:r w:rsidRPr="00FC4067">
        <w:t xml:space="preserve">Phone: </w:t>
      </w:r>
      <w:r w:rsidR="000131A6">
        <w:t xml:space="preserve">07 </w:t>
      </w:r>
      <w:r w:rsidRPr="00FC4067">
        <w:t>4770 1426</w:t>
      </w:r>
    </w:p>
    <w:p w14:paraId="664E2B5C" w14:textId="77777777" w:rsidR="00262886" w:rsidRPr="00FC4067" w:rsidRDefault="00262886" w:rsidP="00BD646F">
      <w:pPr>
        <w:pStyle w:val="Officelocationsheadings"/>
      </w:pPr>
      <w:r w:rsidRPr="00FC4067">
        <w:t xml:space="preserve">Townsville </w:t>
      </w:r>
    </w:p>
    <w:p w14:paraId="5FE24302" w14:textId="77777777" w:rsidR="00262886" w:rsidRPr="00FC4067" w:rsidRDefault="00262886" w:rsidP="00BD646F">
      <w:pPr>
        <w:pStyle w:val="Officelocationstyle"/>
      </w:pPr>
      <w:r w:rsidRPr="00FC4067">
        <w:t>9-15 Langton Street</w:t>
      </w:r>
    </w:p>
    <w:p w14:paraId="063194B9" w14:textId="77777777" w:rsidR="00262886" w:rsidRPr="00FC4067" w:rsidRDefault="00262886" w:rsidP="00BD646F">
      <w:pPr>
        <w:pStyle w:val="Officelocationstyle"/>
      </w:pPr>
      <w:r w:rsidRPr="00FC4067">
        <w:t>Garbutt Qld 4814</w:t>
      </w:r>
    </w:p>
    <w:p w14:paraId="37232D63" w14:textId="702A096E" w:rsidR="00262886" w:rsidRPr="00FC4067" w:rsidRDefault="00262886" w:rsidP="00BD646F">
      <w:pPr>
        <w:pStyle w:val="Officelocationstyle"/>
      </w:pPr>
      <w:r w:rsidRPr="00FC4067">
        <w:t xml:space="preserve">Phone: </w:t>
      </w:r>
      <w:r w:rsidR="000131A6">
        <w:t xml:space="preserve">07 </w:t>
      </w:r>
      <w:r w:rsidRPr="00FC4067">
        <w:t>4412 2300</w:t>
      </w:r>
    </w:p>
    <w:p w14:paraId="5B9100EF" w14:textId="439868E9" w:rsidR="00262886" w:rsidRPr="00FC4067" w:rsidRDefault="00262886" w:rsidP="00BD646F">
      <w:pPr>
        <w:pStyle w:val="Officelocationstyle"/>
      </w:pPr>
      <w:r w:rsidRPr="00FC4067">
        <w:t xml:space="preserve">Fax: </w:t>
      </w:r>
      <w:r w:rsidR="000131A6">
        <w:t xml:space="preserve">07 </w:t>
      </w:r>
      <w:r w:rsidRPr="00FC4067">
        <w:t>4799 5401</w:t>
      </w:r>
    </w:p>
    <w:p w14:paraId="2B051E19" w14:textId="77777777" w:rsidR="00262886" w:rsidRPr="00FC4067" w:rsidRDefault="00262886" w:rsidP="00792F33">
      <w:pPr>
        <w:pStyle w:val="Heading3"/>
      </w:pPr>
      <w:r w:rsidRPr="00FC4067">
        <w:t>Far North Queensland</w:t>
      </w:r>
    </w:p>
    <w:p w14:paraId="7E607254" w14:textId="008239AE" w:rsidR="00262886" w:rsidRPr="00FC4067" w:rsidRDefault="00262886" w:rsidP="00BD646F">
      <w:pPr>
        <w:pStyle w:val="Officelocationsheadings"/>
      </w:pPr>
      <w:r w:rsidRPr="00FC4067">
        <w:t xml:space="preserve">Far North Queensland </w:t>
      </w:r>
      <w:r w:rsidR="00127C26" w:rsidRPr="00FC4067">
        <w:t>R</w:t>
      </w:r>
      <w:r w:rsidRPr="00FC4067">
        <w:t>egional Office</w:t>
      </w:r>
    </w:p>
    <w:p w14:paraId="550F0B22" w14:textId="77777777" w:rsidR="00262886" w:rsidRPr="00FC4067" w:rsidRDefault="00262886" w:rsidP="00BD646F">
      <w:pPr>
        <w:pStyle w:val="Officelocationstyle"/>
      </w:pPr>
      <w:r w:rsidRPr="00FC4067">
        <w:t>31 Grove Street</w:t>
      </w:r>
    </w:p>
    <w:p w14:paraId="3D2AF2B1" w14:textId="77777777" w:rsidR="00262886" w:rsidRPr="00FC4067" w:rsidRDefault="00262886" w:rsidP="00BD646F">
      <w:pPr>
        <w:pStyle w:val="Officelocationstyle"/>
      </w:pPr>
      <w:r w:rsidRPr="00FC4067">
        <w:t>PO Box 812</w:t>
      </w:r>
    </w:p>
    <w:p w14:paraId="33AD33E3" w14:textId="77777777" w:rsidR="00262886" w:rsidRPr="00FC4067" w:rsidRDefault="00262886" w:rsidP="00BD646F">
      <w:pPr>
        <w:pStyle w:val="Officelocationstyle"/>
      </w:pPr>
      <w:r w:rsidRPr="00FC4067">
        <w:t>Cairns Qld 4870</w:t>
      </w:r>
    </w:p>
    <w:p w14:paraId="16AC5F2A" w14:textId="087F12D1" w:rsidR="00262886" w:rsidRPr="00FC4067" w:rsidRDefault="00262886" w:rsidP="00BD646F">
      <w:pPr>
        <w:pStyle w:val="Officelocationstyle"/>
      </w:pPr>
      <w:r w:rsidRPr="00FC4067">
        <w:t xml:space="preserve">Phone: </w:t>
      </w:r>
      <w:r w:rsidR="000131A6">
        <w:t xml:space="preserve">07 </w:t>
      </w:r>
      <w:r w:rsidRPr="00FC4067">
        <w:t>4232 4000</w:t>
      </w:r>
    </w:p>
    <w:p w14:paraId="6DCB7D9C" w14:textId="22363E17" w:rsidR="00262886" w:rsidRPr="00FC4067" w:rsidRDefault="00262886" w:rsidP="00BD646F">
      <w:pPr>
        <w:pStyle w:val="Officelocationstyle"/>
      </w:pPr>
      <w:r w:rsidRPr="00FC4067">
        <w:t xml:space="preserve">Fax: </w:t>
      </w:r>
      <w:r w:rsidR="000131A6">
        <w:t xml:space="preserve">07 </w:t>
      </w:r>
      <w:r w:rsidRPr="00FC4067">
        <w:t>4031 2560 </w:t>
      </w:r>
    </w:p>
    <w:p w14:paraId="329EC215" w14:textId="77777777" w:rsidR="00262886" w:rsidRPr="00FC4067" w:rsidRDefault="00262886" w:rsidP="00BD646F">
      <w:pPr>
        <w:pStyle w:val="Officelocationstyle"/>
      </w:pPr>
    </w:p>
    <w:p w14:paraId="0F887593" w14:textId="74DFBF23" w:rsidR="00262886" w:rsidRPr="00FC4067" w:rsidRDefault="00262886" w:rsidP="00BD646F">
      <w:pPr>
        <w:shd w:val="clear" w:color="auto" w:fill="FFFFFF" w:themeFill="background1"/>
        <w:textAlignment w:val="baseline"/>
        <w:outlineLvl w:val="3"/>
        <w:rPr>
          <w:u w:val="single"/>
        </w:rPr>
      </w:pPr>
      <w:r w:rsidRPr="00FC4067">
        <w:rPr>
          <w:u w:val="single"/>
        </w:rPr>
        <w:t>District Offices</w:t>
      </w:r>
    </w:p>
    <w:p w14:paraId="011348FF" w14:textId="77777777" w:rsidR="00262886" w:rsidRPr="00FC4067" w:rsidRDefault="00262886" w:rsidP="00BD646F">
      <w:pPr>
        <w:pStyle w:val="Officelocationsheadings"/>
      </w:pPr>
      <w:r w:rsidRPr="00FC4067">
        <w:t xml:space="preserve">Thursday Island </w:t>
      </w:r>
    </w:p>
    <w:p w14:paraId="5BE401C7" w14:textId="77777777" w:rsidR="00262886" w:rsidRPr="00FC4067" w:rsidRDefault="00262886" w:rsidP="00BD646F">
      <w:pPr>
        <w:pStyle w:val="Officelocationstyle"/>
      </w:pPr>
      <w:r w:rsidRPr="00FC4067">
        <w:t>44 Victoria Parade</w:t>
      </w:r>
    </w:p>
    <w:p w14:paraId="55251066" w14:textId="77777777" w:rsidR="00262886" w:rsidRPr="00FC4067" w:rsidRDefault="00262886" w:rsidP="00BD646F">
      <w:pPr>
        <w:pStyle w:val="Officelocationstyle"/>
      </w:pPr>
      <w:r w:rsidRPr="00FC4067">
        <w:t>PO Box 397</w:t>
      </w:r>
    </w:p>
    <w:p w14:paraId="09F30DF2" w14:textId="77777777" w:rsidR="00262886" w:rsidRPr="00FC4067" w:rsidRDefault="00262886" w:rsidP="00BD646F">
      <w:pPr>
        <w:pStyle w:val="Officelocationstyle"/>
      </w:pPr>
      <w:r w:rsidRPr="00FC4067">
        <w:t>Thursday Island Qld 4875</w:t>
      </w:r>
    </w:p>
    <w:p w14:paraId="4C6ABE2D" w14:textId="1315F268" w:rsidR="00262886" w:rsidRPr="00FC4067" w:rsidRDefault="00262886" w:rsidP="00BD646F">
      <w:pPr>
        <w:pStyle w:val="Officelocationstyle"/>
      </w:pPr>
      <w:r w:rsidRPr="00FC4067">
        <w:t xml:space="preserve">Phone: </w:t>
      </w:r>
      <w:r w:rsidR="005D75B8">
        <w:t xml:space="preserve">07 </w:t>
      </w:r>
      <w:r w:rsidRPr="00FC4067">
        <w:t>4212 3390</w:t>
      </w:r>
    </w:p>
    <w:p w14:paraId="360EA634" w14:textId="08B3BFB2" w:rsidR="00262886" w:rsidRPr="00FC4067" w:rsidRDefault="00262886" w:rsidP="00BD646F">
      <w:pPr>
        <w:pStyle w:val="Officelocationstyle"/>
      </w:pPr>
      <w:r w:rsidRPr="00FC4067">
        <w:t xml:space="preserve">Fax: </w:t>
      </w:r>
      <w:r w:rsidR="005D75B8">
        <w:t xml:space="preserve">07 </w:t>
      </w:r>
      <w:r w:rsidRPr="00FC4067">
        <w:t>4069 1778</w:t>
      </w:r>
    </w:p>
    <w:p w14:paraId="6B0AFB45" w14:textId="77777777" w:rsidR="00262886" w:rsidRPr="00FC4067" w:rsidRDefault="00262886" w:rsidP="00BD646F">
      <w:pPr>
        <w:pStyle w:val="Officelocationstyle"/>
      </w:pPr>
    </w:p>
    <w:p w14:paraId="1F5672DD" w14:textId="42979840" w:rsidR="00262886" w:rsidRPr="00FC4067" w:rsidRDefault="00262886" w:rsidP="00BD646F">
      <w:pPr>
        <w:pStyle w:val="Officelocationsheadings"/>
        <w:rPr>
          <w:u w:val="single"/>
        </w:rPr>
      </w:pPr>
      <w:r w:rsidRPr="00FC4067">
        <w:rPr>
          <w:u w:val="single"/>
          <w:lang w:val="en-US" w:eastAsia="en-AU"/>
        </w:rPr>
        <w:t>Depots</w:t>
      </w:r>
    </w:p>
    <w:p w14:paraId="5281583C" w14:textId="77777777" w:rsidR="00262886" w:rsidRPr="00FC4067" w:rsidRDefault="00262886" w:rsidP="00CF0A4C">
      <w:pPr>
        <w:pStyle w:val="Officelocationsheadings"/>
      </w:pPr>
      <w:r w:rsidRPr="00FC4067">
        <w:t xml:space="preserve">Atherton </w:t>
      </w:r>
    </w:p>
    <w:p w14:paraId="4722C85E" w14:textId="77777777" w:rsidR="00262886" w:rsidRPr="00FC4067" w:rsidRDefault="00262886" w:rsidP="00CF0A4C">
      <w:pPr>
        <w:pStyle w:val="Officelocationstyle"/>
      </w:pPr>
      <w:r w:rsidRPr="00FC4067">
        <w:lastRenderedPageBreak/>
        <w:t>20 Albrecht Street</w:t>
      </w:r>
    </w:p>
    <w:p w14:paraId="1C6D9E6F" w14:textId="77777777" w:rsidR="00262886" w:rsidRPr="00FC4067" w:rsidRDefault="00262886" w:rsidP="00CF0A4C">
      <w:pPr>
        <w:pStyle w:val="Officelocationstyle"/>
      </w:pPr>
      <w:r w:rsidRPr="00FC4067">
        <w:t>PO Box 845</w:t>
      </w:r>
    </w:p>
    <w:p w14:paraId="3463CB76" w14:textId="77777777" w:rsidR="00262886" w:rsidRPr="00FC4067" w:rsidRDefault="00262886" w:rsidP="00CF0A4C">
      <w:pPr>
        <w:pStyle w:val="Officelocationstyle"/>
      </w:pPr>
      <w:r w:rsidRPr="00FC4067">
        <w:t>Tolga Qld 4882</w:t>
      </w:r>
    </w:p>
    <w:p w14:paraId="73813E1D" w14:textId="4EA56572" w:rsidR="00262886" w:rsidRPr="00FC4067" w:rsidRDefault="00262886" w:rsidP="00CF0A4C">
      <w:pPr>
        <w:pStyle w:val="Officelocationstyle"/>
      </w:pPr>
      <w:r w:rsidRPr="00FC4067">
        <w:t xml:space="preserve">Phone: </w:t>
      </w:r>
      <w:r w:rsidR="000131A6">
        <w:t xml:space="preserve">07 </w:t>
      </w:r>
      <w:r w:rsidRPr="00FC4067">
        <w:t>4095 5901</w:t>
      </w:r>
    </w:p>
    <w:p w14:paraId="4038CCFB" w14:textId="2C49E1BC" w:rsidR="00262886" w:rsidRPr="00FC4067" w:rsidRDefault="00262886" w:rsidP="00CF0A4C">
      <w:pPr>
        <w:pStyle w:val="Officelocationstyle"/>
      </w:pPr>
      <w:r w:rsidRPr="00FC4067">
        <w:t xml:space="preserve">Fax: </w:t>
      </w:r>
      <w:r w:rsidR="000131A6">
        <w:t xml:space="preserve">07 </w:t>
      </w:r>
      <w:r w:rsidRPr="00FC4067">
        <w:t>4095 5905</w:t>
      </w:r>
    </w:p>
    <w:p w14:paraId="5E1C8921" w14:textId="77777777" w:rsidR="00262886" w:rsidRPr="00FC4067" w:rsidRDefault="00262886" w:rsidP="00CF0A4C">
      <w:pPr>
        <w:pStyle w:val="Officelocationsheadings"/>
      </w:pPr>
      <w:r w:rsidRPr="00FC4067">
        <w:t xml:space="preserve">Bamaga </w:t>
      </w:r>
    </w:p>
    <w:p w14:paraId="07C5AFED" w14:textId="77777777" w:rsidR="00262886" w:rsidRPr="00FC4067" w:rsidRDefault="00262886" w:rsidP="00CF0A4C">
      <w:pPr>
        <w:pStyle w:val="Officelocationstyle"/>
      </w:pPr>
      <w:r w:rsidRPr="00FC4067">
        <w:t>Lui Street</w:t>
      </w:r>
    </w:p>
    <w:p w14:paraId="45FAD104" w14:textId="77777777" w:rsidR="00262886" w:rsidRPr="00FC4067" w:rsidRDefault="00262886" w:rsidP="00CF0A4C">
      <w:pPr>
        <w:pStyle w:val="Officelocationstyle"/>
      </w:pPr>
      <w:r w:rsidRPr="00FC4067">
        <w:t>PO Box 91</w:t>
      </w:r>
    </w:p>
    <w:p w14:paraId="42316FF4" w14:textId="77777777" w:rsidR="00262886" w:rsidRPr="00FC4067" w:rsidRDefault="00262886" w:rsidP="00CF0A4C">
      <w:pPr>
        <w:pStyle w:val="Officelocationstyle"/>
      </w:pPr>
      <w:r w:rsidRPr="00FC4067">
        <w:t>Bamaga Qld 4876</w:t>
      </w:r>
    </w:p>
    <w:p w14:paraId="7DA0B3E3" w14:textId="1524F437" w:rsidR="00262886" w:rsidRPr="00FC4067" w:rsidRDefault="00262886" w:rsidP="00CF0A4C">
      <w:pPr>
        <w:pStyle w:val="Officelocationstyle"/>
      </w:pPr>
      <w:r w:rsidRPr="00FC4067">
        <w:t xml:space="preserve">Phone/Fax: </w:t>
      </w:r>
      <w:r w:rsidR="000131A6">
        <w:t xml:space="preserve">07 </w:t>
      </w:r>
      <w:r w:rsidRPr="00FC4067">
        <w:t>4069 3272</w:t>
      </w:r>
    </w:p>
    <w:p w14:paraId="1921F9E9" w14:textId="77777777" w:rsidR="00262886" w:rsidRPr="00FC4067" w:rsidRDefault="00262886" w:rsidP="00CF0A4C">
      <w:pPr>
        <w:pStyle w:val="Officelocationsheadings"/>
      </w:pPr>
      <w:r w:rsidRPr="00FC4067">
        <w:t xml:space="preserve">Cairns  </w:t>
      </w:r>
    </w:p>
    <w:p w14:paraId="477D2F98" w14:textId="77777777" w:rsidR="00262886" w:rsidRPr="00FC4067" w:rsidRDefault="00262886" w:rsidP="00CF0A4C">
      <w:pPr>
        <w:pStyle w:val="Officelocationstyle"/>
      </w:pPr>
      <w:r w:rsidRPr="00FC4067">
        <w:t>31 Grove Street</w:t>
      </w:r>
    </w:p>
    <w:p w14:paraId="2897ACCB" w14:textId="77777777" w:rsidR="00262886" w:rsidRPr="00FC4067" w:rsidRDefault="00262886" w:rsidP="00CF0A4C">
      <w:pPr>
        <w:pStyle w:val="Officelocationstyle"/>
      </w:pPr>
      <w:r w:rsidRPr="00FC4067">
        <w:t>PO Box 812</w:t>
      </w:r>
    </w:p>
    <w:p w14:paraId="5DCCA1AA" w14:textId="77777777" w:rsidR="00262886" w:rsidRPr="00FC4067" w:rsidRDefault="00262886" w:rsidP="00CF0A4C">
      <w:pPr>
        <w:pStyle w:val="Officelocationstyle"/>
      </w:pPr>
      <w:r w:rsidRPr="00FC4067">
        <w:t>Cairns Qld 4870</w:t>
      </w:r>
    </w:p>
    <w:p w14:paraId="0E62E043" w14:textId="70C60C95" w:rsidR="00262886" w:rsidRPr="00FC4067" w:rsidRDefault="00262886" w:rsidP="00CF0A4C">
      <w:pPr>
        <w:pStyle w:val="Officelocationstyle"/>
      </w:pPr>
      <w:r w:rsidRPr="00FC4067">
        <w:t xml:space="preserve">Phone: </w:t>
      </w:r>
      <w:r w:rsidR="000131A6">
        <w:t xml:space="preserve">07 </w:t>
      </w:r>
      <w:r w:rsidRPr="00FC4067">
        <w:t>4232 4000</w:t>
      </w:r>
    </w:p>
    <w:p w14:paraId="0242143B" w14:textId="4D20243E" w:rsidR="00262886" w:rsidRPr="00FC4067" w:rsidRDefault="00262886" w:rsidP="00CF0A4C">
      <w:pPr>
        <w:pStyle w:val="Officelocationstyle"/>
      </w:pPr>
      <w:r w:rsidRPr="00FC4067">
        <w:t xml:space="preserve">Fax: </w:t>
      </w:r>
      <w:r w:rsidR="000131A6">
        <w:t xml:space="preserve">07 </w:t>
      </w:r>
      <w:r w:rsidRPr="00FC4067">
        <w:t>4031 2560</w:t>
      </w:r>
    </w:p>
    <w:p w14:paraId="3C0EBD27" w14:textId="77777777" w:rsidR="00262886" w:rsidRPr="00FC4067" w:rsidRDefault="00262886" w:rsidP="00CF0A4C">
      <w:pPr>
        <w:pStyle w:val="Officelocationsheadings"/>
      </w:pPr>
      <w:r w:rsidRPr="00FC4067">
        <w:t xml:space="preserve">Innisfail </w:t>
      </w:r>
    </w:p>
    <w:p w14:paraId="1C7B50F9" w14:textId="77777777" w:rsidR="00262886" w:rsidRPr="00FC4067" w:rsidRDefault="00262886" w:rsidP="00CF0A4C">
      <w:pPr>
        <w:pStyle w:val="Officelocationstyle"/>
      </w:pPr>
      <w:r w:rsidRPr="00FC4067">
        <w:t>6 Laurie Street</w:t>
      </w:r>
    </w:p>
    <w:p w14:paraId="41DE15BB" w14:textId="77777777" w:rsidR="00262886" w:rsidRPr="00FC4067" w:rsidRDefault="00262886" w:rsidP="00CF0A4C">
      <w:pPr>
        <w:pStyle w:val="Officelocationstyle"/>
      </w:pPr>
      <w:r w:rsidRPr="00FC4067">
        <w:t>Innisfail Qld 4860</w:t>
      </w:r>
    </w:p>
    <w:p w14:paraId="7FF48663" w14:textId="2B62C227" w:rsidR="00262886" w:rsidRPr="00FC4067" w:rsidRDefault="00262886" w:rsidP="00CF0A4C">
      <w:pPr>
        <w:pStyle w:val="Officelocationstyle"/>
      </w:pPr>
      <w:r w:rsidRPr="00FC4067">
        <w:t>Phone/Fax: 4</w:t>
      </w:r>
      <w:r w:rsidR="000131A6">
        <w:t xml:space="preserve">07 </w:t>
      </w:r>
      <w:r w:rsidRPr="00FC4067">
        <w:t>061 2175</w:t>
      </w:r>
    </w:p>
    <w:p w14:paraId="62D493E6" w14:textId="77777777" w:rsidR="00262886" w:rsidRPr="00FC4067" w:rsidRDefault="00262886" w:rsidP="00CF0A4C">
      <w:pPr>
        <w:pStyle w:val="Officelocationsheadings"/>
      </w:pPr>
      <w:r w:rsidRPr="00FC4067">
        <w:t xml:space="preserve">Kowanyama </w:t>
      </w:r>
    </w:p>
    <w:p w14:paraId="103ADC36" w14:textId="77777777" w:rsidR="00262886" w:rsidRPr="00FC4067" w:rsidRDefault="00262886" w:rsidP="00CF0A4C">
      <w:pPr>
        <w:pStyle w:val="Officelocationstyle"/>
      </w:pPr>
      <w:r w:rsidRPr="00FC4067">
        <w:t>Kunjun Street</w:t>
      </w:r>
    </w:p>
    <w:p w14:paraId="3D1ECE8C" w14:textId="77777777" w:rsidR="00262886" w:rsidRPr="00FC4067" w:rsidRDefault="00262886" w:rsidP="00CF0A4C">
      <w:pPr>
        <w:pStyle w:val="Officelocationstyle"/>
      </w:pPr>
      <w:r w:rsidRPr="00FC4067">
        <w:t>Kowanyama Qld 4876</w:t>
      </w:r>
    </w:p>
    <w:p w14:paraId="671E7E7E" w14:textId="77777777" w:rsidR="00262886" w:rsidRPr="00FC4067" w:rsidRDefault="00262886" w:rsidP="00CF0A4C">
      <w:pPr>
        <w:pStyle w:val="Officelocationsheadings"/>
      </w:pPr>
      <w:r w:rsidRPr="00FC4067">
        <w:t xml:space="preserve">Mareeba  </w:t>
      </w:r>
    </w:p>
    <w:p w14:paraId="17E79E8A" w14:textId="77777777" w:rsidR="00262886" w:rsidRPr="00FC4067" w:rsidRDefault="00262886" w:rsidP="00CF0A4C">
      <w:pPr>
        <w:pStyle w:val="Officelocationstyle"/>
      </w:pPr>
      <w:r w:rsidRPr="00FC4067">
        <w:t>Wallace Drive</w:t>
      </w:r>
    </w:p>
    <w:p w14:paraId="2BB9C3CA" w14:textId="77777777" w:rsidR="00262886" w:rsidRPr="00FC4067" w:rsidRDefault="00262886" w:rsidP="00CF0A4C">
      <w:pPr>
        <w:pStyle w:val="Officelocationstyle"/>
      </w:pPr>
      <w:r w:rsidRPr="00FC4067">
        <w:t>Mareeba Qld 4880</w:t>
      </w:r>
    </w:p>
    <w:p w14:paraId="1098E3F1" w14:textId="5E7FBAD8" w:rsidR="00262886" w:rsidRPr="00FC4067" w:rsidRDefault="00262886" w:rsidP="00CF0A4C">
      <w:pPr>
        <w:pStyle w:val="Officelocationstyle"/>
      </w:pPr>
      <w:r w:rsidRPr="00FC4067">
        <w:t xml:space="preserve">Phone: </w:t>
      </w:r>
      <w:r w:rsidR="000131A6">
        <w:t xml:space="preserve">07 </w:t>
      </w:r>
      <w:r w:rsidRPr="00FC4067">
        <w:t>4092 4398</w:t>
      </w:r>
    </w:p>
    <w:p w14:paraId="546D59EF" w14:textId="7187CB30" w:rsidR="00262886" w:rsidRPr="00FC4067" w:rsidRDefault="00262886" w:rsidP="00CF0A4C">
      <w:pPr>
        <w:pStyle w:val="Officelocationstyle"/>
      </w:pPr>
      <w:r w:rsidRPr="00FC4067">
        <w:t xml:space="preserve">Fax: </w:t>
      </w:r>
      <w:r w:rsidR="000131A6">
        <w:t xml:space="preserve">07 </w:t>
      </w:r>
      <w:r w:rsidRPr="00FC4067">
        <w:t>4092 4298</w:t>
      </w:r>
    </w:p>
    <w:p w14:paraId="0220074F" w14:textId="77777777" w:rsidR="00262886" w:rsidRPr="00FC4067" w:rsidRDefault="00262886" w:rsidP="00CF0A4C">
      <w:pPr>
        <w:pStyle w:val="Officelocationsheadings"/>
      </w:pPr>
      <w:r w:rsidRPr="00FC4067">
        <w:t xml:space="preserve">Thursday Island </w:t>
      </w:r>
    </w:p>
    <w:p w14:paraId="21C5213E" w14:textId="77777777" w:rsidR="00262886" w:rsidRPr="00FC4067" w:rsidRDefault="00262886" w:rsidP="00CF0A4C">
      <w:pPr>
        <w:pStyle w:val="Officelocationstyle"/>
      </w:pPr>
      <w:r w:rsidRPr="00FC4067">
        <w:t>44 Victoria Parade</w:t>
      </w:r>
    </w:p>
    <w:p w14:paraId="2298FC34" w14:textId="77777777" w:rsidR="00262886" w:rsidRPr="00FC4067" w:rsidRDefault="00262886" w:rsidP="00CF0A4C">
      <w:pPr>
        <w:pStyle w:val="Officelocationstyle"/>
      </w:pPr>
      <w:r w:rsidRPr="00FC4067">
        <w:t>PO Box 397</w:t>
      </w:r>
    </w:p>
    <w:p w14:paraId="6210159B" w14:textId="77777777" w:rsidR="00262886" w:rsidRPr="00FC4067" w:rsidRDefault="00262886" w:rsidP="00CF0A4C">
      <w:pPr>
        <w:pStyle w:val="Officelocationstyle"/>
      </w:pPr>
      <w:r w:rsidRPr="00FC4067">
        <w:t>Thursday Island Qld 4875</w:t>
      </w:r>
    </w:p>
    <w:p w14:paraId="1E19B66C" w14:textId="4044B7D1" w:rsidR="00262886" w:rsidRPr="00FC4067" w:rsidRDefault="00262886" w:rsidP="00CF0A4C">
      <w:pPr>
        <w:pStyle w:val="Officelocationstyle"/>
      </w:pPr>
      <w:r w:rsidRPr="00FC4067">
        <w:t xml:space="preserve">Phone: </w:t>
      </w:r>
      <w:r w:rsidR="000131A6">
        <w:t xml:space="preserve">07 </w:t>
      </w:r>
      <w:r w:rsidRPr="00FC4067">
        <w:t>4212 3390</w:t>
      </w:r>
    </w:p>
    <w:p w14:paraId="5B782247" w14:textId="176DAEB1" w:rsidR="00262886" w:rsidRPr="00FC4067" w:rsidRDefault="00262886" w:rsidP="00CF0A4C">
      <w:pPr>
        <w:pStyle w:val="Officelocationstyle"/>
      </w:pPr>
      <w:r w:rsidRPr="00FC4067">
        <w:t xml:space="preserve">Fax: </w:t>
      </w:r>
      <w:r w:rsidR="000131A6">
        <w:t xml:space="preserve">07 </w:t>
      </w:r>
      <w:r w:rsidRPr="00FC4067">
        <w:t>4069 1778</w:t>
      </w:r>
    </w:p>
    <w:p w14:paraId="2AC7DDDA" w14:textId="77777777" w:rsidR="00262886" w:rsidRPr="00FC4067" w:rsidRDefault="00262886" w:rsidP="00CF0A4C">
      <w:pPr>
        <w:pStyle w:val="Officelocationsheadings"/>
      </w:pPr>
      <w:r w:rsidRPr="00FC4067">
        <w:t xml:space="preserve">Weipa  </w:t>
      </w:r>
    </w:p>
    <w:p w14:paraId="5096C8CA" w14:textId="77777777" w:rsidR="00262886" w:rsidRPr="00FC4067" w:rsidRDefault="00262886" w:rsidP="00CF0A4C">
      <w:pPr>
        <w:pStyle w:val="Officelocationstyle"/>
      </w:pPr>
      <w:r w:rsidRPr="00FC4067">
        <w:t>6 Tonkin Drive</w:t>
      </w:r>
    </w:p>
    <w:p w14:paraId="43A1C9FF" w14:textId="77777777" w:rsidR="00262886" w:rsidRPr="00FC4067" w:rsidRDefault="00262886" w:rsidP="00CF0A4C">
      <w:pPr>
        <w:pStyle w:val="Officelocationstyle"/>
      </w:pPr>
      <w:r w:rsidRPr="00FC4067">
        <w:t>PO Box 509</w:t>
      </w:r>
    </w:p>
    <w:p w14:paraId="30CF0298" w14:textId="77777777" w:rsidR="00262886" w:rsidRPr="00FC4067" w:rsidRDefault="00262886" w:rsidP="00CF0A4C">
      <w:pPr>
        <w:pStyle w:val="Officelocationstyle"/>
      </w:pPr>
      <w:r w:rsidRPr="00FC4067">
        <w:t>Weipa Qld 4874</w:t>
      </w:r>
    </w:p>
    <w:p w14:paraId="10A35B96" w14:textId="15F265C9" w:rsidR="00262886" w:rsidRPr="00FC4067" w:rsidRDefault="00262886" w:rsidP="00CF0A4C">
      <w:pPr>
        <w:pStyle w:val="Officelocationstyle"/>
      </w:pPr>
      <w:r w:rsidRPr="00FC4067">
        <w:t xml:space="preserve">Phone: </w:t>
      </w:r>
      <w:r w:rsidR="000131A6">
        <w:t xml:space="preserve">07 </w:t>
      </w:r>
      <w:r w:rsidRPr="00FC4067">
        <w:t>4069 7963</w:t>
      </w:r>
    </w:p>
    <w:p w14:paraId="65FD3F37" w14:textId="18703DE1" w:rsidR="00262886" w:rsidRPr="00FC4067" w:rsidRDefault="00262886" w:rsidP="00CF0A4C">
      <w:pPr>
        <w:pStyle w:val="Officelocationstyle"/>
      </w:pPr>
      <w:r w:rsidRPr="00FC4067">
        <w:t xml:space="preserve">Fax: </w:t>
      </w:r>
      <w:r w:rsidR="000131A6">
        <w:t xml:space="preserve">07 </w:t>
      </w:r>
      <w:r w:rsidRPr="00FC4067">
        <w:t>4069 9657</w:t>
      </w:r>
    </w:p>
    <w:p w14:paraId="2CFA17CA" w14:textId="77777777" w:rsidR="00116547" w:rsidRPr="00FC4067" w:rsidRDefault="00116547" w:rsidP="00CF0A4C">
      <w:pPr>
        <w:rPr>
          <w:lang w:val="en-US" w:eastAsia="en-AU"/>
        </w:rPr>
        <w:sectPr w:rsidR="00116547" w:rsidRPr="00FC4067" w:rsidSect="00DC4782">
          <w:type w:val="continuous"/>
          <w:pgSz w:w="11910" w:h="16840"/>
          <w:pgMar w:top="1440" w:right="1440" w:bottom="1276" w:left="1440" w:header="241" w:footer="478" w:gutter="0"/>
          <w:cols w:space="454"/>
        </w:sectPr>
      </w:pPr>
      <w:bookmarkStart w:id="88" w:name="sun"/>
      <w:bookmarkStart w:id="89" w:name="gold"/>
      <w:bookmarkStart w:id="90" w:name="Ipswich"/>
      <w:bookmarkStart w:id="91" w:name="bundy"/>
      <w:bookmarkStart w:id="92" w:name="mary"/>
      <w:bookmarkStart w:id="93" w:name="charl"/>
      <w:bookmarkStart w:id="94" w:name="roma"/>
      <w:bookmarkStart w:id="95" w:name="toowoomba"/>
      <w:bookmarkStart w:id="96" w:name="emerald"/>
      <w:bookmarkStart w:id="97" w:name="glad"/>
      <w:bookmarkStart w:id="98" w:name="Mack"/>
      <w:bookmarkStart w:id="99" w:name="rocky"/>
      <w:bookmarkStart w:id="100" w:name="Townsville"/>
      <w:bookmarkStart w:id="101" w:name="cairns"/>
      <w:bookmarkStart w:id="102" w:name="thurs"/>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7F5ED591" w14:textId="2C337C93" w:rsidR="0081617D" w:rsidRPr="00FC4067" w:rsidRDefault="002F0A6A" w:rsidP="0004270E">
      <w:pPr>
        <w:pStyle w:val="Heading2"/>
      </w:pPr>
      <w:bookmarkStart w:id="103" w:name="_Toc464823691"/>
      <w:bookmarkStart w:id="104" w:name="_Toc494984655"/>
      <w:r>
        <w:lastRenderedPageBreak/>
        <w:t>Housing Service C</w:t>
      </w:r>
      <w:r w:rsidRPr="00FC4067">
        <w:t>entres</w:t>
      </w:r>
      <w:bookmarkEnd w:id="103"/>
      <w:bookmarkEnd w:id="104"/>
    </w:p>
    <w:p w14:paraId="743414C2" w14:textId="32B3EE53" w:rsidR="0081617D" w:rsidRPr="00FC4067" w:rsidRDefault="0081617D" w:rsidP="00D35187">
      <w:r w:rsidRPr="00FC4067">
        <w:t xml:space="preserve">For more detailed contact information, visit </w:t>
      </w:r>
      <w:hyperlink r:id="rId26" w:history="1">
        <w:r w:rsidRPr="00FC4067">
          <w:rPr>
            <w:rStyle w:val="Hyperlink"/>
          </w:rPr>
          <w:t>qld.gov.au/housing</w:t>
        </w:r>
      </w:hyperlink>
    </w:p>
    <w:p w14:paraId="0D0D44B3" w14:textId="77777777" w:rsidR="0081617D" w:rsidRPr="00FC4067" w:rsidRDefault="0081617D" w:rsidP="00D35187">
      <w:r w:rsidRPr="00FC4067">
        <w:t xml:space="preserve">Housing Service Centres are open 8:30am to 4:30pm Monday to Friday unless stated otherwise. </w:t>
      </w:r>
    </w:p>
    <w:p w14:paraId="511141FF" w14:textId="77777777" w:rsidR="0081617D" w:rsidRPr="00FC4067" w:rsidRDefault="0081617D" w:rsidP="00D35187">
      <w:r w:rsidRPr="00FC4067">
        <w:t>Email contact: ICCHousingEnquiries@smartservice.qld.gov.au</w:t>
      </w:r>
    </w:p>
    <w:p w14:paraId="734D1639" w14:textId="77777777" w:rsidR="0081617D" w:rsidRPr="00FC4067" w:rsidRDefault="0081617D" w:rsidP="00BB52E1">
      <w:pPr>
        <w:pStyle w:val="Heading3"/>
      </w:pPr>
      <w:r w:rsidRPr="00BB52E1">
        <w:t>Housing and Homelessness Services</w:t>
      </w:r>
    </w:p>
    <w:p w14:paraId="6F5A7C65" w14:textId="77777777" w:rsidR="0081617D" w:rsidRPr="00FC4067" w:rsidRDefault="0081617D" w:rsidP="00D35187">
      <w:pPr>
        <w:pStyle w:val="Officelocationstyle"/>
      </w:pPr>
      <w:r w:rsidRPr="00FC4067">
        <w:rPr>
          <w:rStyle w:val="bold0"/>
          <w:rFonts w:ascii="Arial" w:hAnsi="Arial" w:cstheme="minorBidi"/>
        </w:rPr>
        <w:t xml:space="preserve">Level 19, 41 George Street </w:t>
      </w:r>
    </w:p>
    <w:p w14:paraId="7D6319E9" w14:textId="77777777" w:rsidR="0081617D" w:rsidRPr="00FC4067" w:rsidRDefault="0081617D" w:rsidP="00D35187">
      <w:pPr>
        <w:pStyle w:val="Officelocationstyle"/>
      </w:pPr>
      <w:r w:rsidRPr="00FC4067">
        <w:rPr>
          <w:rStyle w:val="bold0"/>
          <w:rFonts w:ascii="Arial" w:hAnsi="Arial" w:cstheme="minorBidi"/>
        </w:rPr>
        <w:t>Brisbane Qld 4000</w:t>
      </w:r>
    </w:p>
    <w:p w14:paraId="5DE5FD26" w14:textId="77777777" w:rsidR="0081617D" w:rsidRPr="00FC4067" w:rsidRDefault="0081617D" w:rsidP="00D35187">
      <w:pPr>
        <w:pStyle w:val="Officelocationstyle"/>
      </w:pPr>
      <w:r w:rsidRPr="00FC4067">
        <w:rPr>
          <w:rStyle w:val="bold0"/>
          <w:rFonts w:ascii="Arial" w:hAnsi="Arial" w:cstheme="minorBidi"/>
        </w:rPr>
        <w:t>GPO Box 690</w:t>
      </w:r>
    </w:p>
    <w:p w14:paraId="5B2D7E3C" w14:textId="77777777" w:rsidR="0081617D" w:rsidRPr="00FC4067" w:rsidRDefault="0081617D" w:rsidP="00D35187">
      <w:pPr>
        <w:pStyle w:val="Officelocationstyle"/>
      </w:pPr>
      <w:r w:rsidRPr="00FC4067">
        <w:rPr>
          <w:rStyle w:val="bold0"/>
          <w:rFonts w:ascii="Arial" w:hAnsi="Arial" w:cstheme="minorBidi"/>
        </w:rPr>
        <w:t>Brisbane Qld 4001</w:t>
      </w:r>
    </w:p>
    <w:p w14:paraId="7BE2AF9F" w14:textId="48635389" w:rsidR="006371F4" w:rsidRPr="00FC4067" w:rsidRDefault="0081617D" w:rsidP="00D35187">
      <w:pPr>
        <w:pStyle w:val="Officelocationstyle"/>
      </w:pPr>
      <w:r w:rsidRPr="00FC4067">
        <w:rPr>
          <w:rStyle w:val="bold0"/>
          <w:rFonts w:ascii="Arial" w:hAnsi="Arial" w:cstheme="minorBidi"/>
        </w:rPr>
        <w:t>Phone: 07 3007</w:t>
      </w:r>
      <w:r w:rsidR="00AB5423" w:rsidRPr="00FC4067">
        <w:rPr>
          <w:rStyle w:val="bold0"/>
          <w:rFonts w:ascii="Arial" w:hAnsi="Arial" w:cstheme="minorBidi"/>
        </w:rPr>
        <w:t xml:space="preserve"> </w:t>
      </w:r>
      <w:r w:rsidRPr="00FC4067">
        <w:rPr>
          <w:rStyle w:val="bold0"/>
          <w:rFonts w:ascii="Arial" w:hAnsi="Arial" w:cstheme="minorBidi"/>
        </w:rPr>
        <w:t>4401</w:t>
      </w:r>
      <w:bookmarkStart w:id="105" w:name="_Toc464823692"/>
    </w:p>
    <w:p w14:paraId="018B4BB2" w14:textId="77777777" w:rsidR="00F91DF9" w:rsidRPr="00FC4067" w:rsidRDefault="00F91DF9" w:rsidP="00CF0A4C">
      <w:pPr>
        <w:pStyle w:val="Officelocationstyle"/>
      </w:pPr>
    </w:p>
    <w:p w14:paraId="44D98897" w14:textId="77777777" w:rsidR="00DD1FA6" w:rsidRPr="00FC4067" w:rsidRDefault="00DD1FA6" w:rsidP="00CF0A4C">
      <w:pPr>
        <w:pStyle w:val="Officelocationstyle"/>
        <w:sectPr w:rsidR="00DD1FA6" w:rsidRPr="00FC4067" w:rsidSect="00F91DF9">
          <w:type w:val="continuous"/>
          <w:pgSz w:w="11906" w:h="16838"/>
          <w:pgMar w:top="1440" w:right="1021" w:bottom="1440" w:left="1021" w:header="709" w:footer="709" w:gutter="0"/>
          <w:cols w:space="454"/>
          <w:docGrid w:linePitch="360"/>
        </w:sectPr>
      </w:pPr>
    </w:p>
    <w:p w14:paraId="69FD8220" w14:textId="156ADABE" w:rsidR="00792857" w:rsidRPr="00FC4067" w:rsidRDefault="003F3CFC" w:rsidP="00792F33">
      <w:pPr>
        <w:pStyle w:val="Heading3"/>
      </w:pPr>
      <w:r w:rsidRPr="00FC4067">
        <w:t>Far North Queensland R</w:t>
      </w:r>
      <w:r w:rsidR="00025FA3" w:rsidRPr="00FC4067">
        <w:t>egion</w:t>
      </w:r>
    </w:p>
    <w:p w14:paraId="7599937D" w14:textId="77777777" w:rsidR="00836AF7" w:rsidRPr="00FC4067" w:rsidRDefault="00836AF7" w:rsidP="00CF0A4C">
      <w:pPr>
        <w:pStyle w:val="Officelocationsheadings"/>
      </w:pPr>
      <w:r w:rsidRPr="00FC4067">
        <w:t>Office of the Regional Director, Far North Queensland Region</w:t>
      </w:r>
    </w:p>
    <w:p w14:paraId="1FBC11D5" w14:textId="25887CD9" w:rsidR="00836AF7" w:rsidRPr="00FC4067" w:rsidRDefault="00836AF7" w:rsidP="00CF0A4C">
      <w:pPr>
        <w:pStyle w:val="Officelocationstyle"/>
      </w:pPr>
      <w:r w:rsidRPr="00FC4067">
        <w:t xml:space="preserve">Level 3, William </w:t>
      </w:r>
      <w:r w:rsidR="42FF14B8" w:rsidRPr="00FC4067">
        <w:t>McCormack</w:t>
      </w:r>
      <w:r w:rsidR="3BB6D052" w:rsidRPr="00FC4067">
        <w:t xml:space="preserve"> </w:t>
      </w:r>
      <w:r w:rsidRPr="00FC4067">
        <w:t>Place</w:t>
      </w:r>
    </w:p>
    <w:p w14:paraId="0D04CFC1" w14:textId="77777777" w:rsidR="00836AF7" w:rsidRPr="00FC4067" w:rsidRDefault="00836AF7" w:rsidP="00CF0A4C">
      <w:pPr>
        <w:pStyle w:val="Officelocationstyle"/>
      </w:pPr>
      <w:r w:rsidRPr="00FC4067">
        <w:t>5B Sheridan Street</w:t>
      </w:r>
    </w:p>
    <w:p w14:paraId="0CA2DB82" w14:textId="77777777" w:rsidR="00836AF7" w:rsidRPr="00FC4067" w:rsidRDefault="00836AF7" w:rsidP="00CF0A4C">
      <w:pPr>
        <w:pStyle w:val="Officelocationstyle"/>
      </w:pPr>
      <w:r w:rsidRPr="00FC4067">
        <w:t>Cairns Qld 4870</w:t>
      </w:r>
    </w:p>
    <w:p w14:paraId="5ECBCD23" w14:textId="77777777" w:rsidR="00836AF7" w:rsidRPr="00FC4067" w:rsidRDefault="00836AF7" w:rsidP="00CF0A4C">
      <w:pPr>
        <w:pStyle w:val="Officelocationstyle"/>
      </w:pPr>
      <w:r w:rsidRPr="00FC4067">
        <w:t>Phone: 07 4036 5538</w:t>
      </w:r>
    </w:p>
    <w:p w14:paraId="78CF98AD" w14:textId="1F5896D1" w:rsidR="00836AF7" w:rsidRPr="00FC4067" w:rsidRDefault="00836AF7" w:rsidP="00CF0A4C">
      <w:pPr>
        <w:pStyle w:val="Officelocationsheadings"/>
      </w:pPr>
      <w:r w:rsidRPr="00FC4067">
        <w:t xml:space="preserve">Cairns Housing Service Centre </w:t>
      </w:r>
      <w:bookmarkStart w:id="106" w:name="Queensland_Government_Service_Centre_"/>
      <w:bookmarkEnd w:id="106"/>
    </w:p>
    <w:p w14:paraId="4F2119E3" w14:textId="77777777" w:rsidR="00836AF7" w:rsidRPr="00FC4067" w:rsidRDefault="00836AF7" w:rsidP="00CF0A4C">
      <w:pPr>
        <w:pStyle w:val="Officelocationstyle"/>
      </w:pPr>
      <w:r w:rsidRPr="00FC4067">
        <w:t>Level 3, 5B Sheridan Street</w:t>
      </w:r>
    </w:p>
    <w:p w14:paraId="47CFDE7B" w14:textId="249E9397" w:rsidR="00836AF7" w:rsidRPr="00FC4067" w:rsidRDefault="00836AF7" w:rsidP="00CF0A4C">
      <w:pPr>
        <w:pStyle w:val="Officelocationstyle"/>
      </w:pPr>
      <w:r w:rsidRPr="00FC4067">
        <w:t>William McCormack Place</w:t>
      </w:r>
      <w:r w:rsidR="0029596D" w:rsidRPr="00FC4067">
        <w:t xml:space="preserve"> </w:t>
      </w:r>
    </w:p>
    <w:p w14:paraId="43EAE8D0" w14:textId="7290BC27" w:rsidR="00836AF7" w:rsidRPr="00FC4067" w:rsidRDefault="00836AF7" w:rsidP="00CF0A4C">
      <w:pPr>
        <w:pStyle w:val="Officelocationstyle"/>
      </w:pPr>
      <w:r w:rsidRPr="00FC4067">
        <w:t>PO Box 471</w:t>
      </w:r>
    </w:p>
    <w:p w14:paraId="25F25B1E" w14:textId="727C65A4" w:rsidR="00836AF7" w:rsidRPr="00FC4067" w:rsidRDefault="00836AF7" w:rsidP="00CF0A4C">
      <w:pPr>
        <w:pStyle w:val="Officelocationstyle"/>
      </w:pPr>
      <w:r w:rsidRPr="00FC4067">
        <w:t>C</w:t>
      </w:r>
      <w:r w:rsidR="0CF27971" w:rsidRPr="00FC4067">
        <w:t>a</w:t>
      </w:r>
      <w:r w:rsidR="57FF535F" w:rsidRPr="00FC4067">
        <w:t>irns Qld</w:t>
      </w:r>
      <w:r w:rsidRPr="00FC4067">
        <w:t xml:space="preserve"> 4870</w:t>
      </w:r>
    </w:p>
    <w:p w14:paraId="5D9E426C" w14:textId="282C1D0B" w:rsidR="00836AF7" w:rsidRPr="00FC4067" w:rsidRDefault="00836AF7" w:rsidP="00CF0A4C">
      <w:pPr>
        <w:pStyle w:val="Officelocationstyle"/>
      </w:pPr>
      <w:r w:rsidRPr="00FC4067">
        <w:t>07 4036 5460 - 1800 623 208 (within area)</w:t>
      </w:r>
    </w:p>
    <w:p w14:paraId="1B670FBD" w14:textId="3F62FEDF" w:rsidR="00836AF7" w:rsidRPr="00FC4067" w:rsidRDefault="00836AF7" w:rsidP="00CF0A4C">
      <w:pPr>
        <w:pStyle w:val="Officelocationstyle"/>
      </w:pPr>
      <w:r w:rsidRPr="00FC4067">
        <w:t>Maintenance enquiries</w:t>
      </w:r>
      <w:r w:rsidRPr="00FC4067">
        <w:rPr>
          <w:b/>
          <w:bCs/>
        </w:rPr>
        <w:t>:</w:t>
      </w:r>
      <w:r w:rsidRPr="00FC4067">
        <w:t xml:space="preserve"> 1300 650 910</w:t>
      </w:r>
    </w:p>
    <w:p w14:paraId="5BD38BB7" w14:textId="53D87C9D" w:rsidR="00836AF7" w:rsidRPr="00FC4067" w:rsidRDefault="00836AF7" w:rsidP="00CF0A4C">
      <w:pPr>
        <w:pStyle w:val="Officelocationstyle"/>
        <w:rPr>
          <w:sz w:val="20"/>
          <w:szCs w:val="20"/>
        </w:rPr>
      </w:pPr>
      <w:r w:rsidRPr="00FC4067">
        <w:rPr>
          <w:sz w:val="20"/>
          <w:szCs w:val="20"/>
        </w:rPr>
        <w:t>Email:</w:t>
      </w:r>
      <w:hyperlink r:id="rId27">
        <w:r w:rsidRPr="00FC4067">
          <w:rPr>
            <w:rStyle w:val="Hyperlink"/>
            <w:sz w:val="20"/>
            <w:szCs w:val="20"/>
          </w:rPr>
          <w:t>cairnshsc@hpw.qld.gov.au</w:t>
        </w:r>
      </w:hyperlink>
    </w:p>
    <w:p w14:paraId="73A1153C" w14:textId="77777777" w:rsidR="00836AF7" w:rsidRPr="00FC4067" w:rsidRDefault="00836AF7" w:rsidP="00CF0A4C">
      <w:pPr>
        <w:pStyle w:val="Officelocationsheadings"/>
      </w:pPr>
      <w:r w:rsidRPr="00FC4067">
        <w:t>Herberton Queensland Government Agent Program</w:t>
      </w:r>
    </w:p>
    <w:p w14:paraId="05B8A393" w14:textId="77777777" w:rsidR="00836AF7" w:rsidRPr="00FC4067" w:rsidRDefault="00836AF7" w:rsidP="00CF0A4C">
      <w:pPr>
        <w:pStyle w:val="Officelocationstyle"/>
      </w:pPr>
      <w:r w:rsidRPr="00FC4067">
        <w:t>56 Grace Street,</w:t>
      </w:r>
    </w:p>
    <w:p w14:paraId="1767ECC9" w14:textId="33317771" w:rsidR="00836AF7" w:rsidRPr="00FC4067" w:rsidRDefault="00836AF7" w:rsidP="00CF0A4C">
      <w:pPr>
        <w:pStyle w:val="Officelocationstyle"/>
      </w:pPr>
      <w:r w:rsidRPr="00FC4067">
        <w:t>H</w:t>
      </w:r>
      <w:r w:rsidR="57FF535F" w:rsidRPr="00FC4067">
        <w:t>erberton Qld</w:t>
      </w:r>
      <w:r w:rsidRPr="00FC4067">
        <w:t xml:space="preserve"> 4887</w:t>
      </w:r>
    </w:p>
    <w:p w14:paraId="65803AD6" w14:textId="51E804E9" w:rsidR="00836AF7" w:rsidRPr="00FC4067" w:rsidRDefault="00836AF7" w:rsidP="00CF0A4C">
      <w:pPr>
        <w:pStyle w:val="Officelocationstyle"/>
      </w:pPr>
      <w:r w:rsidRPr="00FC4067">
        <w:t>PO Box 43 R</w:t>
      </w:r>
      <w:r w:rsidR="02CF5432" w:rsidRPr="00FC4067">
        <w:t>avenshoe</w:t>
      </w:r>
    </w:p>
    <w:p w14:paraId="08F39F35" w14:textId="5CECBB55" w:rsidR="00836AF7" w:rsidRPr="00FC4067" w:rsidRDefault="02CF5432" w:rsidP="00CF0A4C">
      <w:pPr>
        <w:pStyle w:val="Officelocationstyle"/>
      </w:pPr>
      <w:r w:rsidRPr="00FC4067">
        <w:t>Phone:</w:t>
      </w:r>
      <w:r w:rsidR="00836AF7" w:rsidRPr="00FC4067">
        <w:t>07 4097 6660</w:t>
      </w:r>
    </w:p>
    <w:p w14:paraId="67C81A47" w14:textId="29544575" w:rsidR="1F60E485" w:rsidRPr="00FC4067" w:rsidRDefault="00836AF7" w:rsidP="00CF0A4C">
      <w:pPr>
        <w:pStyle w:val="Officelocationstyle"/>
      </w:pPr>
      <w:r w:rsidRPr="00FC4067">
        <w:t>9.00 am to 4.00 pm Thursday onl</w:t>
      </w:r>
      <w:r w:rsidR="00F81AAF" w:rsidRPr="00FC4067">
        <w:t>y</w:t>
      </w:r>
    </w:p>
    <w:p w14:paraId="085A6F36" w14:textId="77777777" w:rsidR="00836AF7" w:rsidRPr="00FC4067" w:rsidRDefault="00836AF7" w:rsidP="00CF0A4C">
      <w:pPr>
        <w:pStyle w:val="Officelocationstyle"/>
      </w:pPr>
    </w:p>
    <w:p w14:paraId="7252C759" w14:textId="0A7524B0" w:rsidR="00836AF7" w:rsidRPr="00FC4067" w:rsidRDefault="00836AF7" w:rsidP="00025FA3">
      <w:pPr>
        <w:pStyle w:val="Officelocationsheadings"/>
      </w:pPr>
      <w:r w:rsidRPr="00FC4067">
        <w:rPr>
          <w:rStyle w:val="OfficelocationsheadingsChar"/>
          <w:b/>
        </w:rPr>
        <w:t>Malanda Queensland Government Agent Program</w:t>
      </w:r>
      <w:r w:rsidRPr="00FC4067">
        <w:t xml:space="preserve"> </w:t>
      </w:r>
    </w:p>
    <w:p w14:paraId="2DE26CB7" w14:textId="77777777" w:rsidR="00836AF7" w:rsidRPr="00FC4067" w:rsidRDefault="00836AF7" w:rsidP="00CF0A4C">
      <w:pPr>
        <w:pStyle w:val="Officelocationstyle"/>
        <w:rPr>
          <w:color w:val="FF0000"/>
        </w:rPr>
      </w:pPr>
      <w:r w:rsidRPr="00FC4067">
        <w:t>Echo Building, 3 English Street</w:t>
      </w:r>
    </w:p>
    <w:p w14:paraId="62718517" w14:textId="77777777" w:rsidR="00836AF7" w:rsidRPr="00FC4067" w:rsidRDefault="00836AF7" w:rsidP="00CF0A4C">
      <w:pPr>
        <w:pStyle w:val="Officelocationstyle"/>
      </w:pPr>
      <w:r w:rsidRPr="00FC4067">
        <w:t>Malanda Qld 4886</w:t>
      </w:r>
    </w:p>
    <w:p w14:paraId="380BB0AD" w14:textId="77777777" w:rsidR="00836AF7" w:rsidRPr="00FC4067" w:rsidRDefault="00836AF7" w:rsidP="00CF0A4C">
      <w:pPr>
        <w:pStyle w:val="Officelocationstyle"/>
      </w:pPr>
      <w:r w:rsidRPr="00FC4067">
        <w:t>PO Box 43</w:t>
      </w:r>
    </w:p>
    <w:p w14:paraId="3385B736" w14:textId="77777777" w:rsidR="00836AF7" w:rsidRPr="00FC4067" w:rsidRDefault="00836AF7" w:rsidP="00CF0A4C">
      <w:pPr>
        <w:pStyle w:val="Officelocationstyle"/>
      </w:pPr>
      <w:r w:rsidRPr="00FC4067">
        <w:t>Ravenshoe Qld 4888</w:t>
      </w:r>
    </w:p>
    <w:p w14:paraId="63015F5F" w14:textId="43FEC812" w:rsidR="002D027F" w:rsidRPr="00FC4067" w:rsidRDefault="00836AF7" w:rsidP="00025FA3">
      <w:pPr>
        <w:pStyle w:val="Officelocationstyle"/>
      </w:pPr>
      <w:r w:rsidRPr="00FC4067">
        <w:t>Phone: 07 4097 6660</w:t>
      </w:r>
    </w:p>
    <w:p w14:paraId="6AA16DD0" w14:textId="5DA1DB5E" w:rsidR="001A15A8" w:rsidRPr="00FC4067" w:rsidRDefault="06C8BE1A" w:rsidP="00025FA3">
      <w:pPr>
        <w:pStyle w:val="Officelocationstyle"/>
      </w:pPr>
      <w:r w:rsidRPr="00FC4067">
        <w:t xml:space="preserve">9:00am to </w:t>
      </w:r>
      <w:r w:rsidR="002D027F" w:rsidRPr="00FC4067">
        <w:t>4</w:t>
      </w:r>
      <w:r w:rsidRPr="00FC4067">
        <w:t>:00pm Friday only</w:t>
      </w:r>
    </w:p>
    <w:p w14:paraId="4D8DE598" w14:textId="77777777" w:rsidR="001A15A8" w:rsidRPr="00FC4067" w:rsidRDefault="001A15A8" w:rsidP="00025FA3">
      <w:pPr>
        <w:pStyle w:val="Officelocationstyle"/>
      </w:pPr>
    </w:p>
    <w:p w14:paraId="38A97E75" w14:textId="1330ADF2" w:rsidR="00836AF7" w:rsidRPr="00FC4067" w:rsidRDefault="002D027F" w:rsidP="00CF0A4C">
      <w:pPr>
        <w:pStyle w:val="Officelocationsheadings"/>
      </w:pPr>
      <w:r w:rsidRPr="00FC4067">
        <w:t>M</w:t>
      </w:r>
      <w:r w:rsidR="00836AF7" w:rsidRPr="00FC4067">
        <w:t>ount Garnet Queensland Government Agent Program</w:t>
      </w:r>
    </w:p>
    <w:p w14:paraId="596527F8" w14:textId="77777777" w:rsidR="00836AF7" w:rsidRPr="00FC4067" w:rsidRDefault="00836AF7" w:rsidP="00CF0A4C">
      <w:pPr>
        <w:pStyle w:val="Officelocationstyle"/>
      </w:pPr>
      <w:bookmarkStart w:id="107" w:name="Police_Station,_Cnr_Garnet_and_Agate_Str"/>
      <w:bookmarkEnd w:id="107"/>
      <w:r w:rsidRPr="00FC4067">
        <w:t>Police Station, Cnr Garnet and Agate Streets</w:t>
      </w:r>
    </w:p>
    <w:p w14:paraId="18BB2A4A" w14:textId="25699ED5" w:rsidR="00836AF7" w:rsidRPr="00FC4067" w:rsidRDefault="00836AF7" w:rsidP="00CF0A4C">
      <w:pPr>
        <w:pStyle w:val="Officelocationstyle"/>
      </w:pPr>
      <w:bookmarkStart w:id="108" w:name="MOUNT_GARNET__4872"/>
      <w:bookmarkEnd w:id="108"/>
      <w:r w:rsidRPr="00FC4067">
        <w:t>M</w:t>
      </w:r>
      <w:r w:rsidR="6223C851" w:rsidRPr="00FC4067">
        <w:t>ount Garnet</w:t>
      </w:r>
      <w:r w:rsidRPr="00FC4067">
        <w:t xml:space="preserve"> </w:t>
      </w:r>
      <w:r w:rsidR="2196AA8E" w:rsidRPr="00FC4067">
        <w:t>Qld</w:t>
      </w:r>
      <w:r w:rsidRPr="00FC4067">
        <w:t xml:space="preserve"> 4872</w:t>
      </w:r>
    </w:p>
    <w:p w14:paraId="5F522083" w14:textId="77777777" w:rsidR="00836AF7" w:rsidRPr="00FC4067" w:rsidRDefault="00836AF7" w:rsidP="00CF0A4C">
      <w:pPr>
        <w:pStyle w:val="Officelocationstyle"/>
      </w:pPr>
      <w:bookmarkStart w:id="109" w:name="PO_Box_43"/>
      <w:bookmarkEnd w:id="109"/>
      <w:r w:rsidRPr="00FC4067">
        <w:t>PO Box 43</w:t>
      </w:r>
    </w:p>
    <w:p w14:paraId="6CB6344D" w14:textId="5FFF2A9E" w:rsidR="00836AF7" w:rsidRPr="00FC4067" w:rsidRDefault="00836AF7" w:rsidP="00CF0A4C">
      <w:pPr>
        <w:pStyle w:val="Officelocationstyle"/>
      </w:pPr>
      <w:bookmarkStart w:id="110" w:name="RAVENSHOE_4888_"/>
      <w:bookmarkEnd w:id="110"/>
      <w:r w:rsidRPr="00FC4067">
        <w:t>R</w:t>
      </w:r>
      <w:r w:rsidR="4B69EEB0" w:rsidRPr="00FC4067">
        <w:t>avenshoe Qld</w:t>
      </w:r>
      <w:r w:rsidRPr="00FC4067">
        <w:t xml:space="preserve"> 4888</w:t>
      </w:r>
    </w:p>
    <w:p w14:paraId="250171B3" w14:textId="7CAA84B7" w:rsidR="00836AF7" w:rsidRPr="00FC4067" w:rsidRDefault="4077B1D3" w:rsidP="00CF0A4C">
      <w:pPr>
        <w:pStyle w:val="Officelocationstyle"/>
      </w:pPr>
      <w:bookmarkStart w:id="111" w:name="(07)_4097_9005"/>
      <w:bookmarkEnd w:id="111"/>
      <w:r w:rsidRPr="00FC4067">
        <w:lastRenderedPageBreak/>
        <w:t xml:space="preserve">Phone: </w:t>
      </w:r>
      <w:r w:rsidR="00836AF7" w:rsidRPr="00FC4067">
        <w:t>07 4097 9005</w:t>
      </w:r>
    </w:p>
    <w:p w14:paraId="4373A017" w14:textId="34B25213" w:rsidR="00836AF7" w:rsidRPr="00FC4067" w:rsidRDefault="00836AF7" w:rsidP="00CF0A4C">
      <w:pPr>
        <w:pStyle w:val="Officelocationstyle"/>
      </w:pPr>
      <w:r w:rsidRPr="00FC4067">
        <w:t>9.30 am to 3.30 pm Monday and Wednesdays only</w:t>
      </w:r>
    </w:p>
    <w:p w14:paraId="0FEE17CB" w14:textId="77777777" w:rsidR="00836AF7" w:rsidRPr="00FC4067" w:rsidRDefault="00836AF7" w:rsidP="00CF0A4C">
      <w:pPr>
        <w:pStyle w:val="Officelocationsheadings"/>
      </w:pPr>
      <w:r w:rsidRPr="00FC4067">
        <w:t>Ravenshoe Queensland Government Agent Program</w:t>
      </w:r>
    </w:p>
    <w:p w14:paraId="3C13872F" w14:textId="77777777" w:rsidR="00836AF7" w:rsidRPr="00FC4067" w:rsidRDefault="00836AF7" w:rsidP="00CF0A4C">
      <w:pPr>
        <w:pStyle w:val="Officelocationstyle"/>
      </w:pPr>
      <w:r w:rsidRPr="00FC4067">
        <w:t>Grigg Street, PO Box 43</w:t>
      </w:r>
    </w:p>
    <w:p w14:paraId="5435F801" w14:textId="38036477" w:rsidR="00836AF7" w:rsidRPr="00FC4067" w:rsidRDefault="00836AF7" w:rsidP="00CF0A4C">
      <w:pPr>
        <w:pStyle w:val="Officelocationstyle"/>
      </w:pPr>
      <w:r w:rsidRPr="00FC4067">
        <w:t>R</w:t>
      </w:r>
      <w:r w:rsidR="2196AA8E" w:rsidRPr="00FC4067">
        <w:t>avenshoe Qld</w:t>
      </w:r>
      <w:r w:rsidRPr="00FC4067">
        <w:t xml:space="preserve"> 4888</w:t>
      </w:r>
    </w:p>
    <w:p w14:paraId="357827B7" w14:textId="1A4DBF7B" w:rsidR="00836AF7" w:rsidRPr="00FC4067" w:rsidRDefault="2196AA8E" w:rsidP="00CF0A4C">
      <w:pPr>
        <w:pStyle w:val="Officelocationstyle"/>
      </w:pPr>
      <w:r w:rsidRPr="00FC4067">
        <w:t xml:space="preserve">Phone: </w:t>
      </w:r>
      <w:r w:rsidR="00836AF7" w:rsidRPr="00FC4067">
        <w:t>07 4097 6660</w:t>
      </w:r>
    </w:p>
    <w:p w14:paraId="5D9859CA" w14:textId="6D43B4F5" w:rsidR="00836AF7" w:rsidRPr="00FC4067" w:rsidRDefault="00836AF7" w:rsidP="00CF0A4C">
      <w:pPr>
        <w:pStyle w:val="Officelocationstyle"/>
      </w:pPr>
      <w:bookmarkStart w:id="112" w:name="Note:_9.00am_to_1.00pm__and_1.30pm_to_4."/>
      <w:bookmarkEnd w:id="112"/>
      <w:r w:rsidRPr="00FC4067">
        <w:t xml:space="preserve">9.00am to </w:t>
      </w:r>
      <w:r w:rsidR="00146E9B" w:rsidRPr="00FC4067">
        <w:t>4</w:t>
      </w:r>
      <w:r w:rsidRPr="00FC4067">
        <w:t>.00pm Monday to Friday</w:t>
      </w:r>
    </w:p>
    <w:p w14:paraId="75AB2288" w14:textId="59820746" w:rsidR="00836AF7" w:rsidRPr="00FC4067" w:rsidRDefault="009E4BE0" w:rsidP="00CF0A4C">
      <w:pPr>
        <w:pStyle w:val="Officelocationsheadings"/>
      </w:pPr>
      <w:r w:rsidRPr="00FC4067">
        <w:t xml:space="preserve">Cape York </w:t>
      </w:r>
      <w:r w:rsidR="00836AF7" w:rsidRPr="00FC4067">
        <w:t>Housing Service Centre</w:t>
      </w:r>
    </w:p>
    <w:p w14:paraId="4158A6C7" w14:textId="77777777" w:rsidR="00836AF7" w:rsidRPr="00FC4067" w:rsidRDefault="00836AF7" w:rsidP="00CF0A4C">
      <w:pPr>
        <w:pStyle w:val="Officelocationstyle"/>
      </w:pPr>
      <w:r w:rsidRPr="00FC4067">
        <w:t>Level 3, 5B Sheridan Street</w:t>
      </w:r>
    </w:p>
    <w:p w14:paraId="01030560" w14:textId="1EEB6B0E" w:rsidR="00836AF7" w:rsidRPr="00FC4067" w:rsidRDefault="00836AF7" w:rsidP="00CF0A4C">
      <w:pPr>
        <w:pStyle w:val="Officelocationstyle"/>
      </w:pPr>
      <w:r w:rsidRPr="00FC4067">
        <w:t>William McCormack Place</w:t>
      </w:r>
      <w:r w:rsidR="00EC3B44" w:rsidRPr="00FC4067">
        <w:t xml:space="preserve"> 1</w:t>
      </w:r>
    </w:p>
    <w:p w14:paraId="6BF1E89F" w14:textId="77777777" w:rsidR="00836AF7" w:rsidRPr="00FC4067" w:rsidRDefault="00836AF7" w:rsidP="00CF0A4C">
      <w:pPr>
        <w:pStyle w:val="Officelocationstyle"/>
      </w:pPr>
      <w:r w:rsidRPr="00FC4067">
        <w:t>PO Box 471</w:t>
      </w:r>
    </w:p>
    <w:p w14:paraId="3A76172C" w14:textId="77777777" w:rsidR="00836AF7" w:rsidRPr="00FC4067" w:rsidRDefault="00836AF7" w:rsidP="00CF0A4C">
      <w:pPr>
        <w:pStyle w:val="Officelocationstyle"/>
      </w:pPr>
      <w:r w:rsidRPr="00FC4067">
        <w:t>Cairns Qld 4870</w:t>
      </w:r>
    </w:p>
    <w:p w14:paraId="3D5F02A8" w14:textId="25CB6018" w:rsidR="009E4BE0" w:rsidRPr="00FC4067" w:rsidRDefault="00836AF7" w:rsidP="00CF0A4C">
      <w:pPr>
        <w:pStyle w:val="Officelocationstyle"/>
      </w:pPr>
      <w:r w:rsidRPr="00FC4067">
        <w:t>Phone: 07 4036 5555</w:t>
      </w:r>
    </w:p>
    <w:p w14:paraId="18766C04" w14:textId="4103D536" w:rsidR="009E4BE0" w:rsidRPr="00FC4067" w:rsidRDefault="009E4BE0" w:rsidP="00CF0A4C">
      <w:pPr>
        <w:pStyle w:val="Officelocationstyle"/>
      </w:pPr>
      <w:r w:rsidRPr="00FC4067">
        <w:t>Fax: 07 4036 5575</w:t>
      </w:r>
    </w:p>
    <w:p w14:paraId="481B76A0" w14:textId="79C9EB1A" w:rsidR="009E4BE0" w:rsidRPr="00FC4067" w:rsidRDefault="00836AF7" w:rsidP="00025FA3">
      <w:pPr>
        <w:pStyle w:val="Officelocationsheadings"/>
      </w:pPr>
      <w:r w:rsidRPr="00FC4067">
        <w:rPr>
          <w:rStyle w:val="OfficelocationsheadingsChar"/>
          <w:b/>
        </w:rPr>
        <w:t xml:space="preserve">Aurukun </w:t>
      </w:r>
    </w:p>
    <w:p w14:paraId="5BF0E8DA" w14:textId="4364AD13" w:rsidR="00836AF7" w:rsidRPr="00FC4067" w:rsidRDefault="00836AF7" w:rsidP="00CF0A4C">
      <w:pPr>
        <w:pStyle w:val="Officelocationstyle"/>
      </w:pPr>
      <w:r w:rsidRPr="00FC4067">
        <w:t xml:space="preserve">502 </w:t>
      </w:r>
      <w:r w:rsidR="00146E9B" w:rsidRPr="00FC4067">
        <w:t>K</w:t>
      </w:r>
      <w:r w:rsidRPr="00FC4067">
        <w:t>ang Kang</w:t>
      </w:r>
      <w:r w:rsidR="009E4BE0" w:rsidRPr="00FC4067">
        <w:t xml:space="preserve"> Road</w:t>
      </w:r>
    </w:p>
    <w:p w14:paraId="4421EBFB" w14:textId="15FC5EF7" w:rsidR="00836AF7" w:rsidRPr="00FC4067" w:rsidRDefault="00836AF7" w:rsidP="00CF0A4C">
      <w:pPr>
        <w:pStyle w:val="Officelocationstyle"/>
      </w:pPr>
      <w:r w:rsidRPr="00FC4067">
        <w:t xml:space="preserve">Sam Kerindun Business </w:t>
      </w:r>
      <w:r w:rsidR="009E4BE0" w:rsidRPr="00FC4067">
        <w:t>Centre</w:t>
      </w:r>
    </w:p>
    <w:p w14:paraId="6466CE87" w14:textId="77777777" w:rsidR="00836AF7" w:rsidRPr="00FC4067" w:rsidRDefault="00836AF7" w:rsidP="00CF0A4C">
      <w:pPr>
        <w:pStyle w:val="Officelocationstyle"/>
      </w:pPr>
      <w:r w:rsidRPr="00FC4067">
        <w:t>PO Box 471, Cairns QLD, 4870</w:t>
      </w:r>
    </w:p>
    <w:p w14:paraId="570E02C8" w14:textId="14446725" w:rsidR="00836AF7" w:rsidRPr="00FC4067" w:rsidRDefault="009E4BE0" w:rsidP="00CF0A4C">
      <w:pPr>
        <w:pStyle w:val="Officelocationstyle"/>
      </w:pPr>
      <w:r w:rsidRPr="00FC4067">
        <w:t xml:space="preserve">Phone: </w:t>
      </w:r>
      <w:r w:rsidR="00836AF7" w:rsidRPr="00FC4067">
        <w:t>07 4060 6140</w:t>
      </w:r>
    </w:p>
    <w:p w14:paraId="4F8DA885" w14:textId="1977EEEC" w:rsidR="00836AF7" w:rsidRPr="00FC4067" w:rsidRDefault="00836AF7" w:rsidP="00CF0A4C">
      <w:pPr>
        <w:pStyle w:val="Officelocationstyle"/>
      </w:pPr>
      <w:r w:rsidRPr="00FC4067">
        <w:t>8.30am - 12.00pm</w:t>
      </w:r>
      <w:r w:rsidR="001A7E2C" w:rsidRPr="001A7E2C">
        <w:t xml:space="preserve"> </w:t>
      </w:r>
      <w:r w:rsidR="001A7E2C" w:rsidRPr="00FC4067">
        <w:t>Monday – Friday alternate weeks</w:t>
      </w:r>
    </w:p>
    <w:p w14:paraId="0886C572" w14:textId="77777777" w:rsidR="00836AF7" w:rsidRPr="00FC4067" w:rsidRDefault="00836AF7" w:rsidP="00CF0A4C">
      <w:pPr>
        <w:pStyle w:val="Officelocationstyle"/>
      </w:pPr>
      <w:r w:rsidRPr="00FC4067">
        <w:t>If the office is unattended contact the Cape York HSC Cairns</w:t>
      </w:r>
    </w:p>
    <w:p w14:paraId="0BDE5DEB" w14:textId="48589599" w:rsidR="00836AF7" w:rsidRPr="00FC4067" w:rsidRDefault="00836AF7" w:rsidP="00CF0A4C">
      <w:pPr>
        <w:pStyle w:val="Officelocationsheadings"/>
      </w:pPr>
      <w:r w:rsidRPr="00FC4067">
        <w:t>Lockhart River</w:t>
      </w:r>
    </w:p>
    <w:p w14:paraId="2220C887" w14:textId="77777777" w:rsidR="009E4BE0" w:rsidRPr="00FC4067" w:rsidRDefault="00836AF7" w:rsidP="00CF0A4C">
      <w:pPr>
        <w:pStyle w:val="Officelocationstyle"/>
      </w:pPr>
      <w:r w:rsidRPr="00FC4067">
        <w:t xml:space="preserve">Monday – Friday alternate weeks Freddie Clarence Moses Retail Complex </w:t>
      </w:r>
    </w:p>
    <w:p w14:paraId="6CC5BF62" w14:textId="5A0F9054" w:rsidR="00836AF7" w:rsidRPr="00FC4067" w:rsidRDefault="00836AF7" w:rsidP="00CF0A4C">
      <w:pPr>
        <w:pStyle w:val="Officelocationstyle"/>
      </w:pPr>
      <w:r w:rsidRPr="00FC4067">
        <w:t>Ilway Street</w:t>
      </w:r>
    </w:p>
    <w:p w14:paraId="794C0996" w14:textId="3BB3E039" w:rsidR="00836AF7" w:rsidRPr="00FC4067" w:rsidRDefault="00836AF7" w:rsidP="00CF0A4C">
      <w:pPr>
        <w:pStyle w:val="Officelocationstyle"/>
      </w:pPr>
      <w:r w:rsidRPr="00FC4067">
        <w:t xml:space="preserve">Lockhart River </w:t>
      </w:r>
      <w:r w:rsidR="009E4BE0" w:rsidRPr="00FC4067">
        <w:t xml:space="preserve">Qld </w:t>
      </w:r>
      <w:r w:rsidRPr="00FC4067">
        <w:t>4871</w:t>
      </w:r>
    </w:p>
    <w:p w14:paraId="7518AA69" w14:textId="3C37AF7E" w:rsidR="00836AF7" w:rsidRPr="00FC4067" w:rsidRDefault="00836AF7" w:rsidP="00CF0A4C">
      <w:pPr>
        <w:pStyle w:val="Officelocationstyle"/>
      </w:pPr>
      <w:r w:rsidRPr="00FC4067">
        <w:t xml:space="preserve">PO Box 471, Cairns </w:t>
      </w:r>
      <w:r w:rsidR="00D97A3E" w:rsidRPr="00FC4067">
        <w:t xml:space="preserve">Qld </w:t>
      </w:r>
      <w:r w:rsidRPr="00FC4067">
        <w:t>4870</w:t>
      </w:r>
    </w:p>
    <w:p w14:paraId="4E4E8624" w14:textId="242BD4CE" w:rsidR="00836AF7" w:rsidRPr="00FC4067" w:rsidRDefault="006B5DA7" w:rsidP="00CF0A4C">
      <w:pPr>
        <w:pStyle w:val="Officelocationstyle"/>
      </w:pPr>
      <w:r w:rsidRPr="00FC4067">
        <w:t xml:space="preserve">Phone: </w:t>
      </w:r>
      <w:r w:rsidR="00836AF7" w:rsidRPr="00FC4067">
        <w:t>07 4060 7334</w:t>
      </w:r>
    </w:p>
    <w:p w14:paraId="357CE0A1" w14:textId="6488530E" w:rsidR="00836AF7" w:rsidRPr="00FC4067" w:rsidRDefault="00836AF7" w:rsidP="00CF0A4C">
      <w:pPr>
        <w:pStyle w:val="Officelocationstyle"/>
      </w:pPr>
      <w:r w:rsidRPr="00FC4067">
        <w:t>Fax: 07 4060 7089</w:t>
      </w:r>
    </w:p>
    <w:p w14:paraId="12C25A41" w14:textId="5CE71CEC" w:rsidR="00836AF7" w:rsidRPr="00FC4067" w:rsidRDefault="00836AF7" w:rsidP="00CF0A4C">
      <w:pPr>
        <w:pStyle w:val="Officelocationstyle"/>
      </w:pPr>
      <w:r w:rsidRPr="00FC4067">
        <w:t>If the office is unattended contact the Cape York HSC Cairns</w:t>
      </w:r>
    </w:p>
    <w:p w14:paraId="711D7A1A" w14:textId="77777777" w:rsidR="00E4129F" w:rsidRPr="00FC4067" w:rsidRDefault="00E4129F" w:rsidP="00CF0A4C">
      <w:pPr>
        <w:pStyle w:val="Officelocationstyle"/>
      </w:pPr>
    </w:p>
    <w:p w14:paraId="278312F0" w14:textId="4B17439F" w:rsidR="00836AF7" w:rsidRPr="00FC4067" w:rsidRDefault="00836AF7" w:rsidP="00025FA3">
      <w:pPr>
        <w:pStyle w:val="Officelocationsheadings"/>
      </w:pPr>
      <w:r w:rsidRPr="00FC4067">
        <w:t xml:space="preserve">Pormpuraaw  </w:t>
      </w:r>
    </w:p>
    <w:p w14:paraId="6A7A4F09" w14:textId="5D25CF19" w:rsidR="00836AF7" w:rsidRPr="00FC4067" w:rsidRDefault="00836AF7" w:rsidP="00CF0A4C">
      <w:pPr>
        <w:pStyle w:val="Officelocationstyle"/>
      </w:pPr>
      <w:r w:rsidRPr="00FC4067">
        <w:t>Monday – Friday alternate weeks 19 Pormpuraaw St</w:t>
      </w:r>
      <w:r w:rsidR="00E4129F" w:rsidRPr="00FC4067">
        <w:t>reet</w:t>
      </w:r>
    </w:p>
    <w:p w14:paraId="713701E7" w14:textId="598C5C81" w:rsidR="00836AF7" w:rsidRPr="00FC4067" w:rsidRDefault="00836AF7" w:rsidP="00CF0A4C">
      <w:pPr>
        <w:pStyle w:val="Officelocationstyle"/>
      </w:pPr>
      <w:r w:rsidRPr="00FC4067">
        <w:t xml:space="preserve">Pormpuraaw </w:t>
      </w:r>
      <w:r w:rsidR="006B5DA7" w:rsidRPr="00FC4067">
        <w:t xml:space="preserve">Qld </w:t>
      </w:r>
      <w:r w:rsidRPr="00FC4067">
        <w:t>4871</w:t>
      </w:r>
    </w:p>
    <w:p w14:paraId="665101DD" w14:textId="326975AC" w:rsidR="00836AF7" w:rsidRPr="00FC4067" w:rsidRDefault="006B5DA7" w:rsidP="00CF0A4C">
      <w:pPr>
        <w:pStyle w:val="Officelocationstyle"/>
      </w:pPr>
      <w:r w:rsidRPr="00FC4067">
        <w:t>Ph</w:t>
      </w:r>
      <w:r w:rsidR="00D97A3E" w:rsidRPr="00FC4067">
        <w:t xml:space="preserve">one: </w:t>
      </w:r>
      <w:r w:rsidR="00836AF7" w:rsidRPr="00FC4067">
        <w:t>07 4051 0459</w:t>
      </w:r>
    </w:p>
    <w:p w14:paraId="4CC15A5E" w14:textId="1A2E3AD1" w:rsidR="00836AF7" w:rsidRPr="00FC4067" w:rsidRDefault="00836AF7" w:rsidP="00CF0A4C">
      <w:pPr>
        <w:pStyle w:val="Officelocationstyle"/>
      </w:pPr>
      <w:r w:rsidRPr="00FC4067">
        <w:t>If the office is unattended contact the Cape York HSC Cairns</w:t>
      </w:r>
    </w:p>
    <w:p w14:paraId="7A932509" w14:textId="217D30FD" w:rsidR="00743315" w:rsidRPr="00FC4067" w:rsidRDefault="00743315" w:rsidP="00CF0A4C">
      <w:pPr>
        <w:pStyle w:val="Officelocationstyle"/>
      </w:pPr>
    </w:p>
    <w:p w14:paraId="5ACD18D9" w14:textId="5EC6BE5C" w:rsidR="00743315" w:rsidRPr="00346306" w:rsidRDefault="00743315" w:rsidP="00CF0A4C">
      <w:pPr>
        <w:pStyle w:val="Officelocationstyle"/>
        <w:rPr>
          <w:b/>
        </w:rPr>
      </w:pPr>
      <w:r w:rsidRPr="00FC4067">
        <w:rPr>
          <w:b/>
        </w:rPr>
        <w:t>Kowanyama Community Office</w:t>
      </w:r>
    </w:p>
    <w:p w14:paraId="0981B4F4" w14:textId="218A118F" w:rsidR="00743315" w:rsidRPr="00FC4067" w:rsidRDefault="00743315" w:rsidP="00CF0A4C">
      <w:pPr>
        <w:pStyle w:val="Officelocationstyle"/>
      </w:pPr>
      <w:r w:rsidRPr="00FC4067">
        <w:t>The Old Guest House</w:t>
      </w:r>
    </w:p>
    <w:p w14:paraId="48D06401" w14:textId="14F279EC" w:rsidR="00743315" w:rsidRPr="00FC4067" w:rsidRDefault="00743315" w:rsidP="00CF0A4C">
      <w:pPr>
        <w:pStyle w:val="Officelocationstyle"/>
      </w:pPr>
      <w:r w:rsidRPr="00FC4067">
        <w:t>Chapman Road</w:t>
      </w:r>
    </w:p>
    <w:p w14:paraId="353BFCC5" w14:textId="60BFA179" w:rsidR="00743315" w:rsidRPr="00FC4067" w:rsidRDefault="00743315" w:rsidP="00CF0A4C">
      <w:pPr>
        <w:pStyle w:val="Officelocationstyle"/>
      </w:pPr>
      <w:r w:rsidRPr="00FC4067">
        <w:t>Kowanyama Qld 4871</w:t>
      </w:r>
    </w:p>
    <w:p w14:paraId="32A29A37" w14:textId="2318A672" w:rsidR="00743315" w:rsidRPr="00FC4067" w:rsidRDefault="00743315" w:rsidP="00CF0A4C">
      <w:pPr>
        <w:pStyle w:val="Officelocationstyle"/>
      </w:pPr>
      <w:r w:rsidRPr="00FC4067">
        <w:t>PO Box 471</w:t>
      </w:r>
    </w:p>
    <w:p w14:paraId="03B632C4" w14:textId="68A705DC" w:rsidR="00743315" w:rsidRPr="00FC4067" w:rsidRDefault="00743315" w:rsidP="00CF0A4C">
      <w:pPr>
        <w:pStyle w:val="Officelocationstyle"/>
      </w:pPr>
      <w:r w:rsidRPr="00FC4067">
        <w:t>Cairns Qld 4870</w:t>
      </w:r>
    </w:p>
    <w:p w14:paraId="70B2D36B" w14:textId="5689FDC8" w:rsidR="00836AF7" w:rsidRPr="00FC4067" w:rsidRDefault="00836AF7" w:rsidP="00CF0A4C">
      <w:pPr>
        <w:pStyle w:val="Officelocationsheadings"/>
      </w:pPr>
      <w:bookmarkStart w:id="113" w:name="Moreton_Bay_Housing_Service_Centre_"/>
      <w:bookmarkEnd w:id="113"/>
      <w:r w:rsidRPr="00FC4067">
        <w:t xml:space="preserve">Cooktown Hub - Coen, Laura, Cooktown, Hopevale </w:t>
      </w:r>
      <w:r w:rsidR="003A69D3" w:rsidRPr="00FC4067">
        <w:t>and</w:t>
      </w:r>
      <w:r w:rsidRPr="00FC4067">
        <w:t xml:space="preserve"> Wujal Wujal</w:t>
      </w:r>
    </w:p>
    <w:p w14:paraId="176591A8" w14:textId="77777777" w:rsidR="00836AF7" w:rsidRPr="00FC4067" w:rsidRDefault="00836AF7" w:rsidP="00CF0A4C">
      <w:pPr>
        <w:pStyle w:val="Officelocationstyle"/>
      </w:pPr>
      <w:r w:rsidRPr="00FC4067">
        <w:t>12 Walker Street</w:t>
      </w:r>
    </w:p>
    <w:p w14:paraId="2E918F28" w14:textId="77777777" w:rsidR="00836AF7" w:rsidRPr="00FC4067" w:rsidRDefault="00836AF7" w:rsidP="00CF0A4C">
      <w:pPr>
        <w:pStyle w:val="Officelocationstyle"/>
      </w:pPr>
      <w:r w:rsidRPr="00FC4067">
        <w:t>PO Box 988</w:t>
      </w:r>
    </w:p>
    <w:p w14:paraId="212DC30E" w14:textId="36F43207" w:rsidR="00836AF7" w:rsidRPr="00FC4067" w:rsidRDefault="00836AF7" w:rsidP="00CF0A4C">
      <w:pPr>
        <w:pStyle w:val="Officelocationstyle"/>
      </w:pPr>
      <w:r w:rsidRPr="00FC4067">
        <w:t xml:space="preserve">Cooktown </w:t>
      </w:r>
      <w:r w:rsidR="00B86BC0" w:rsidRPr="00FC4067">
        <w:t xml:space="preserve">Qld </w:t>
      </w:r>
      <w:r w:rsidRPr="00FC4067">
        <w:t>4895</w:t>
      </w:r>
    </w:p>
    <w:p w14:paraId="310E3E43" w14:textId="30A1A87E" w:rsidR="00B86BC0" w:rsidRPr="00FC4067" w:rsidRDefault="00B86BC0" w:rsidP="00CF0A4C">
      <w:pPr>
        <w:pStyle w:val="Officelocationstyle"/>
      </w:pPr>
      <w:r w:rsidRPr="00FC4067">
        <w:t xml:space="preserve">Phone: </w:t>
      </w:r>
      <w:r w:rsidR="00836AF7" w:rsidRPr="00FC4067">
        <w:t xml:space="preserve">07 4082 2300 </w:t>
      </w:r>
    </w:p>
    <w:p w14:paraId="73A0BB89" w14:textId="07DE7831" w:rsidR="00836AF7" w:rsidRPr="00FC4067" w:rsidRDefault="00836AF7" w:rsidP="00CF0A4C">
      <w:pPr>
        <w:pStyle w:val="Officelocationstyle"/>
      </w:pPr>
      <w:r w:rsidRPr="00FC4067">
        <w:t>Fax: 07 4069 5098</w:t>
      </w:r>
    </w:p>
    <w:p w14:paraId="78477399" w14:textId="77777777" w:rsidR="00836AF7" w:rsidRPr="00FC4067" w:rsidRDefault="00836AF7" w:rsidP="00CF0A4C">
      <w:pPr>
        <w:pStyle w:val="Officelocationstyle"/>
        <w:rPr>
          <w:sz w:val="20"/>
          <w:szCs w:val="20"/>
        </w:rPr>
      </w:pPr>
      <w:r w:rsidRPr="00FC4067">
        <w:rPr>
          <w:sz w:val="20"/>
          <w:szCs w:val="20"/>
        </w:rPr>
        <w:t xml:space="preserve">Email: </w:t>
      </w:r>
      <w:hyperlink r:id="rId28">
        <w:r w:rsidRPr="00FC4067">
          <w:rPr>
            <w:rStyle w:val="Hyperlink"/>
            <w:sz w:val="20"/>
            <w:szCs w:val="20"/>
          </w:rPr>
          <w:t>HHS-Cooktown-Hub@hpw.qld.gov.au</w:t>
        </w:r>
      </w:hyperlink>
    </w:p>
    <w:p w14:paraId="0A32BA19" w14:textId="77777777" w:rsidR="00AA0098" w:rsidRPr="00FC4067" w:rsidRDefault="00836AF7" w:rsidP="00CF0A4C">
      <w:pPr>
        <w:pStyle w:val="Officelocationstyle"/>
      </w:pPr>
      <w:r w:rsidRPr="00FC4067">
        <w:t>Maintenance enquiries</w:t>
      </w:r>
      <w:r w:rsidR="00AA0098" w:rsidRPr="00FC4067">
        <w:t>:</w:t>
      </w:r>
    </w:p>
    <w:p w14:paraId="1D8BD734" w14:textId="2A68D7D0" w:rsidR="00E4129F" w:rsidRPr="00FC4067" w:rsidRDefault="00836AF7" w:rsidP="00CF0A4C">
      <w:pPr>
        <w:pStyle w:val="Officelocationstyle"/>
      </w:pPr>
      <w:r w:rsidRPr="00FC4067">
        <w:lastRenderedPageBreak/>
        <w:t>1300 650 910</w:t>
      </w:r>
    </w:p>
    <w:p w14:paraId="22F2149A" w14:textId="5FF357E5" w:rsidR="00B86BC0" w:rsidRPr="00FC4067" w:rsidRDefault="00836AF7" w:rsidP="00CF0A4C">
      <w:pPr>
        <w:pStyle w:val="Officelocationstyle"/>
      </w:pPr>
      <w:r w:rsidRPr="00FC4067">
        <w:t>If the office is unattended contact the Cape York HSC Cairns</w:t>
      </w:r>
    </w:p>
    <w:p w14:paraId="157FD611" w14:textId="36553BE4" w:rsidR="00E11260" w:rsidRPr="00FC4067" w:rsidRDefault="00E11260" w:rsidP="00CF0A4C">
      <w:pPr>
        <w:pStyle w:val="Officelocationstyle"/>
      </w:pPr>
    </w:p>
    <w:p w14:paraId="7EE76DF8" w14:textId="69EAD263" w:rsidR="00E11260" w:rsidRPr="00346306" w:rsidRDefault="00E11260" w:rsidP="00CF0A4C">
      <w:pPr>
        <w:pStyle w:val="Officelocationstyle"/>
        <w:rPr>
          <w:b/>
        </w:rPr>
      </w:pPr>
      <w:r w:rsidRPr="00FC4067">
        <w:rPr>
          <w:b/>
        </w:rPr>
        <w:t>Coen</w:t>
      </w:r>
    </w:p>
    <w:p w14:paraId="32D1F609" w14:textId="77777777" w:rsidR="00E11260" w:rsidRPr="00FC4067" w:rsidRDefault="00E11260" w:rsidP="00FC4067">
      <w:pPr>
        <w:pStyle w:val="Officelocationstyle"/>
      </w:pPr>
      <w:r w:rsidRPr="00FC4067">
        <w:t>Wellbeing Centre</w:t>
      </w:r>
    </w:p>
    <w:p w14:paraId="6A633220" w14:textId="34BD580D" w:rsidR="00E11260" w:rsidRPr="00FC4067" w:rsidRDefault="00E11260" w:rsidP="00FC4067">
      <w:pPr>
        <w:pStyle w:val="Officelocationstyle"/>
      </w:pPr>
      <w:r w:rsidRPr="00FC4067">
        <w:t>1 Taylor Street</w:t>
      </w:r>
    </w:p>
    <w:p w14:paraId="709606B0" w14:textId="1C93012B" w:rsidR="00E11260" w:rsidRPr="00FC4067" w:rsidRDefault="00E11260" w:rsidP="00CF0A4C">
      <w:pPr>
        <w:pStyle w:val="Officelocationstyle"/>
      </w:pPr>
      <w:r w:rsidRPr="00FC4067">
        <w:t>Coen Qld 4892</w:t>
      </w:r>
    </w:p>
    <w:p w14:paraId="11C3CDAD" w14:textId="77777777" w:rsidR="00836AF7" w:rsidRPr="00FC4067" w:rsidRDefault="00836AF7" w:rsidP="00CF0A4C">
      <w:pPr>
        <w:pStyle w:val="Officelocationsheadings"/>
      </w:pPr>
      <w:r w:rsidRPr="00FC4067">
        <w:t>Hopevale</w:t>
      </w:r>
    </w:p>
    <w:p w14:paraId="1FB631AD" w14:textId="77777777" w:rsidR="00836AF7" w:rsidRPr="00FC4067" w:rsidRDefault="00836AF7" w:rsidP="00CF0A4C">
      <w:pPr>
        <w:pStyle w:val="Officelocationstyle"/>
      </w:pPr>
      <w:r w:rsidRPr="00FC4067">
        <w:t>Monday to Thursday 9.00am – 4.30pm Friday 9.00am – 1.00pm</w:t>
      </w:r>
    </w:p>
    <w:p w14:paraId="2B9C8CCB" w14:textId="77777777" w:rsidR="00836AF7" w:rsidRPr="00FC4067" w:rsidRDefault="00836AF7" w:rsidP="00CF0A4C">
      <w:pPr>
        <w:pStyle w:val="Officelocationstyle"/>
      </w:pPr>
      <w:r w:rsidRPr="00FC4067">
        <w:t>1 Muni Street</w:t>
      </w:r>
    </w:p>
    <w:p w14:paraId="2FD22482" w14:textId="77777777" w:rsidR="00836AF7" w:rsidRPr="00FC4067" w:rsidRDefault="00836AF7" w:rsidP="00CF0A4C">
      <w:pPr>
        <w:pStyle w:val="Officelocationstyle"/>
      </w:pPr>
      <w:r w:rsidRPr="00FC4067">
        <w:t>Hope Vale Council Office Complex PO Box 988</w:t>
      </w:r>
    </w:p>
    <w:p w14:paraId="2BCF641F" w14:textId="16110687" w:rsidR="00836AF7" w:rsidRPr="00FC4067" w:rsidRDefault="00836AF7" w:rsidP="00CF0A4C">
      <w:pPr>
        <w:pStyle w:val="Officelocationstyle"/>
      </w:pPr>
      <w:r w:rsidRPr="00FC4067">
        <w:t xml:space="preserve">Cooktown </w:t>
      </w:r>
      <w:r w:rsidR="00B86BC0" w:rsidRPr="00FC4067">
        <w:t xml:space="preserve">Qld </w:t>
      </w:r>
      <w:r w:rsidRPr="00FC4067">
        <w:t>4895</w:t>
      </w:r>
    </w:p>
    <w:p w14:paraId="4E40CB62" w14:textId="6558492B" w:rsidR="00836AF7" w:rsidRPr="00FC4067" w:rsidRDefault="00743315" w:rsidP="00CF0A4C">
      <w:pPr>
        <w:pStyle w:val="Officelocationstyle"/>
      </w:pPr>
      <w:r w:rsidRPr="00FC4067">
        <w:t xml:space="preserve">Phone: </w:t>
      </w:r>
      <w:r w:rsidR="00836AF7" w:rsidRPr="00FC4067">
        <w:t>07 4060 9231</w:t>
      </w:r>
      <w:r w:rsidR="00612635" w:rsidRPr="00FC4067">
        <w:t xml:space="preserve"> and 07 4060 9182</w:t>
      </w:r>
    </w:p>
    <w:p w14:paraId="26C74B71" w14:textId="18538FED" w:rsidR="00836AF7" w:rsidRPr="00FC4067" w:rsidRDefault="00836AF7" w:rsidP="00CF0A4C">
      <w:pPr>
        <w:pStyle w:val="Officelocationstyle"/>
      </w:pPr>
      <w:r w:rsidRPr="00FC4067">
        <w:t>Fax 07 4060 9184</w:t>
      </w:r>
    </w:p>
    <w:p w14:paraId="68A0BD34" w14:textId="58C53D01" w:rsidR="00AA0098" w:rsidRPr="00FC4067" w:rsidRDefault="00836AF7" w:rsidP="00CF0A4C">
      <w:pPr>
        <w:pStyle w:val="Officelocationstyle"/>
      </w:pPr>
      <w:r w:rsidRPr="00FC4067">
        <w:t xml:space="preserve">If the office is unattended contact: Cooktown Hub: </w:t>
      </w:r>
    </w:p>
    <w:p w14:paraId="46A5E38D" w14:textId="6B65CABE" w:rsidR="00836AF7" w:rsidRPr="00FC4067" w:rsidRDefault="00743315" w:rsidP="00CF0A4C">
      <w:pPr>
        <w:pStyle w:val="Officelocationstyle"/>
      </w:pPr>
      <w:r w:rsidRPr="00FC4067">
        <w:t xml:space="preserve">Phone: </w:t>
      </w:r>
      <w:r w:rsidR="00836AF7" w:rsidRPr="00FC4067">
        <w:t>07 4082 2300 or</w:t>
      </w:r>
    </w:p>
    <w:p w14:paraId="74C19FE5" w14:textId="6027B6BD" w:rsidR="00AA0098" w:rsidRPr="00FC4067" w:rsidRDefault="00836AF7" w:rsidP="00CF0A4C">
      <w:pPr>
        <w:pStyle w:val="Officelocationstyle"/>
      </w:pPr>
      <w:r w:rsidRPr="00FC4067">
        <w:t xml:space="preserve">Cape York HSC Cairns </w:t>
      </w:r>
    </w:p>
    <w:p w14:paraId="65176639" w14:textId="6E9A51FD" w:rsidR="00836AF7" w:rsidRPr="00FC4067" w:rsidRDefault="00836AF7" w:rsidP="00CF0A4C">
      <w:pPr>
        <w:pStyle w:val="Officelocationstyle"/>
      </w:pPr>
      <w:r w:rsidRPr="00FC4067">
        <w:t>07 4036 5555</w:t>
      </w:r>
    </w:p>
    <w:p w14:paraId="5EED90B6" w14:textId="18232EEA" w:rsidR="00836AF7" w:rsidRPr="00FC4067" w:rsidRDefault="00836AF7" w:rsidP="00CF0A4C">
      <w:pPr>
        <w:pStyle w:val="Officelocationsheadings"/>
      </w:pPr>
      <w:r w:rsidRPr="00FC4067">
        <w:t>Wujal Wujal</w:t>
      </w:r>
      <w:r w:rsidR="00612635" w:rsidRPr="00FC4067">
        <w:t xml:space="preserve"> Community Office</w:t>
      </w:r>
    </w:p>
    <w:p w14:paraId="55BB7205" w14:textId="77777777" w:rsidR="00444E43" w:rsidRPr="00FC4067" w:rsidRDefault="00836AF7" w:rsidP="00CF0A4C">
      <w:pPr>
        <w:pStyle w:val="Officelocationstyle"/>
      </w:pPr>
      <w:r w:rsidRPr="00FC4067">
        <w:t>Tuesday 10.00am – 3.00pm</w:t>
      </w:r>
    </w:p>
    <w:p w14:paraId="5AD575E0" w14:textId="496EAB31" w:rsidR="00836AF7" w:rsidRPr="00FC4067" w:rsidRDefault="00836AF7" w:rsidP="00CF0A4C">
      <w:pPr>
        <w:pStyle w:val="Officelocationstyle"/>
      </w:pPr>
      <w:r w:rsidRPr="00FC4067">
        <w:t>1</w:t>
      </w:r>
      <w:r w:rsidR="00612635" w:rsidRPr="00FC4067">
        <w:t>27</w:t>
      </w:r>
      <w:r w:rsidRPr="00FC4067">
        <w:t xml:space="preserve"> Hartwig Street</w:t>
      </w:r>
    </w:p>
    <w:p w14:paraId="4A17F175" w14:textId="77777777" w:rsidR="00836AF7" w:rsidRPr="00FC4067" w:rsidRDefault="00836AF7" w:rsidP="00CF0A4C">
      <w:pPr>
        <w:pStyle w:val="Officelocationstyle"/>
      </w:pPr>
      <w:r w:rsidRPr="00FC4067">
        <w:t>PO Box 988</w:t>
      </w:r>
    </w:p>
    <w:p w14:paraId="1397029A" w14:textId="0B39CC0D" w:rsidR="00836AF7" w:rsidRPr="00FC4067" w:rsidRDefault="00836AF7" w:rsidP="00CF0A4C">
      <w:pPr>
        <w:pStyle w:val="Officelocationstyle"/>
      </w:pPr>
      <w:r w:rsidRPr="00FC4067">
        <w:t>Cooktown</w:t>
      </w:r>
      <w:r w:rsidR="00FF6015" w:rsidRPr="00FC4067">
        <w:t xml:space="preserve"> Qld</w:t>
      </w:r>
      <w:r w:rsidRPr="00FC4067">
        <w:t xml:space="preserve"> 4895</w:t>
      </w:r>
    </w:p>
    <w:p w14:paraId="17676290" w14:textId="26F1B866" w:rsidR="00743315" w:rsidRPr="00FC4067" w:rsidRDefault="00FF6015" w:rsidP="00CF0A4C">
      <w:pPr>
        <w:pStyle w:val="Officelocationstyle"/>
      </w:pPr>
      <w:r w:rsidRPr="00FC4067">
        <w:t xml:space="preserve">Phone: </w:t>
      </w:r>
      <w:r w:rsidR="00836AF7" w:rsidRPr="00FC4067">
        <w:t>07 4060 8360</w:t>
      </w:r>
    </w:p>
    <w:p w14:paraId="56E07186" w14:textId="2B490CEE" w:rsidR="00FF6015" w:rsidRPr="00FC4067" w:rsidRDefault="00836AF7" w:rsidP="00CF0A4C">
      <w:pPr>
        <w:pStyle w:val="Officelocationstyle"/>
      </w:pPr>
      <w:r w:rsidRPr="00FC4067">
        <w:t>If the office is unattended contact: Cooktown Hub:</w:t>
      </w:r>
    </w:p>
    <w:p w14:paraId="2562BEDF" w14:textId="0CE2FA06" w:rsidR="00836AF7" w:rsidRPr="00FC4067" w:rsidRDefault="00444E43" w:rsidP="00CF0A4C">
      <w:pPr>
        <w:pStyle w:val="Officelocationstyle"/>
      </w:pPr>
      <w:r w:rsidRPr="00FC4067">
        <w:t xml:space="preserve">Phone: </w:t>
      </w:r>
      <w:r w:rsidR="00836AF7" w:rsidRPr="00FC4067">
        <w:t>07 4082 2300 or</w:t>
      </w:r>
    </w:p>
    <w:p w14:paraId="33955EC2" w14:textId="77777777" w:rsidR="00444E43" w:rsidRPr="00FC4067" w:rsidRDefault="00836AF7" w:rsidP="00CF0A4C">
      <w:pPr>
        <w:pStyle w:val="Officelocationstyle"/>
      </w:pPr>
      <w:r w:rsidRPr="00FC4067">
        <w:t>Cape York HSC Cairns</w:t>
      </w:r>
    </w:p>
    <w:p w14:paraId="58412C6E" w14:textId="29DCE5FB" w:rsidR="00836AF7" w:rsidRPr="00FC4067" w:rsidRDefault="00836AF7" w:rsidP="00CF0A4C">
      <w:pPr>
        <w:pStyle w:val="Officelocationstyle"/>
      </w:pPr>
      <w:r w:rsidRPr="00FC4067">
        <w:t>07 4036 5555</w:t>
      </w:r>
    </w:p>
    <w:p w14:paraId="5752535F" w14:textId="77777777" w:rsidR="00836AF7" w:rsidRPr="00FC4067" w:rsidRDefault="00836AF7" w:rsidP="00CF0A4C">
      <w:pPr>
        <w:pStyle w:val="Officelocationstyle"/>
      </w:pPr>
    </w:p>
    <w:p w14:paraId="0C55546F" w14:textId="0CAE94B4" w:rsidR="00836AF7" w:rsidRPr="00FC4067" w:rsidRDefault="00836AF7" w:rsidP="00025FA3">
      <w:pPr>
        <w:pStyle w:val="Officelocationsheadings"/>
      </w:pPr>
      <w:r w:rsidRPr="00FC4067">
        <w:t xml:space="preserve">Northern Peninsula Hub – Bamaga, Seisia, Injinoo, Umagico, </w:t>
      </w:r>
      <w:r w:rsidR="00025FA3" w:rsidRPr="00FC4067">
        <w:t>New Mapoon</w:t>
      </w:r>
    </w:p>
    <w:p w14:paraId="4094CF89" w14:textId="77777777" w:rsidR="00836AF7" w:rsidRPr="00FC4067" w:rsidRDefault="00836AF7" w:rsidP="00CF0A4C">
      <w:pPr>
        <w:pStyle w:val="Officelocationstyle"/>
      </w:pPr>
      <w:r w:rsidRPr="00FC4067">
        <w:t>Monday to Friday 08.30am – 4.30pm</w:t>
      </w:r>
    </w:p>
    <w:p w14:paraId="27EA90DD" w14:textId="77777777" w:rsidR="00836AF7" w:rsidRPr="00FC4067" w:rsidRDefault="00836AF7" w:rsidP="00CF0A4C">
      <w:pPr>
        <w:pStyle w:val="Officelocationstyle"/>
      </w:pPr>
      <w:r w:rsidRPr="00FC4067">
        <w:t>203 Mugai Street</w:t>
      </w:r>
    </w:p>
    <w:p w14:paraId="0CE1A496" w14:textId="1A6FA2EE" w:rsidR="00C00093" w:rsidRPr="00FC4067" w:rsidRDefault="00836AF7" w:rsidP="00CF0A4C">
      <w:pPr>
        <w:pStyle w:val="Officelocationstyle"/>
      </w:pPr>
      <w:r w:rsidRPr="00FC4067">
        <w:t>Seisia, Q</w:t>
      </w:r>
      <w:r w:rsidR="00447CDE" w:rsidRPr="00FC4067">
        <w:t>ld</w:t>
      </w:r>
      <w:r w:rsidRPr="00FC4067">
        <w:t xml:space="preserve"> 4876 </w:t>
      </w:r>
    </w:p>
    <w:p w14:paraId="6CC43CCF" w14:textId="47CA48A5" w:rsidR="00836AF7" w:rsidRPr="00FC4067" w:rsidRDefault="00836AF7" w:rsidP="00CF0A4C">
      <w:pPr>
        <w:pStyle w:val="Officelocationstyle"/>
      </w:pPr>
      <w:r w:rsidRPr="00FC4067">
        <w:t>PO Box 77 Bamaga Q</w:t>
      </w:r>
      <w:r w:rsidR="00447CDE" w:rsidRPr="00FC4067">
        <w:t>ld</w:t>
      </w:r>
      <w:r w:rsidRPr="00FC4067">
        <w:t xml:space="preserve"> 4876</w:t>
      </w:r>
    </w:p>
    <w:p w14:paraId="3F5DB8D3" w14:textId="7D0B79EC" w:rsidR="00836AF7" w:rsidRPr="00FC4067" w:rsidRDefault="00836AF7" w:rsidP="00CF0A4C">
      <w:pPr>
        <w:pStyle w:val="Officelocationstyle"/>
      </w:pPr>
      <w:r w:rsidRPr="00FC4067">
        <w:t>07 4069 3588 or 07 4069 3599</w:t>
      </w:r>
    </w:p>
    <w:p w14:paraId="09885896" w14:textId="77777777" w:rsidR="00836AF7" w:rsidRPr="00FC4067" w:rsidRDefault="00836AF7" w:rsidP="00CF0A4C">
      <w:pPr>
        <w:pStyle w:val="Officelocationstyle"/>
        <w:rPr>
          <w:sz w:val="20"/>
          <w:szCs w:val="20"/>
        </w:rPr>
      </w:pPr>
      <w:r w:rsidRPr="00FC4067">
        <w:rPr>
          <w:sz w:val="20"/>
          <w:szCs w:val="20"/>
        </w:rPr>
        <w:t xml:space="preserve">Email: </w:t>
      </w:r>
      <w:hyperlink r:id="rId29">
        <w:r w:rsidRPr="00FC4067">
          <w:rPr>
            <w:rStyle w:val="Hyperlink"/>
            <w:sz w:val="20"/>
            <w:szCs w:val="20"/>
          </w:rPr>
          <w:t>HHS-NPA@hpw.qld.gov.au</w:t>
        </w:r>
      </w:hyperlink>
    </w:p>
    <w:p w14:paraId="4EBB357A" w14:textId="77777777" w:rsidR="00836AF7" w:rsidRPr="00FC4067" w:rsidRDefault="00836AF7" w:rsidP="00CF0A4C">
      <w:pPr>
        <w:pStyle w:val="Officelocationstyle"/>
      </w:pPr>
    </w:p>
    <w:p w14:paraId="7EFF71FE" w14:textId="77777777" w:rsidR="00836AF7" w:rsidRPr="00346306" w:rsidRDefault="00836AF7" w:rsidP="00CF0A4C">
      <w:pPr>
        <w:pStyle w:val="Officelocationstyle"/>
        <w:rPr>
          <w:b/>
        </w:rPr>
      </w:pPr>
      <w:r w:rsidRPr="00FC4067">
        <w:rPr>
          <w:b/>
        </w:rPr>
        <w:t>Weipa Hub Office – Napranum, Mapoon</w:t>
      </w:r>
    </w:p>
    <w:p w14:paraId="28C513F6" w14:textId="77777777" w:rsidR="00836AF7" w:rsidRPr="00FC4067" w:rsidRDefault="00836AF7" w:rsidP="00CF0A4C">
      <w:pPr>
        <w:pStyle w:val="Officelocationstyle"/>
      </w:pPr>
      <w:r w:rsidRPr="00FC4067">
        <w:t>PO Box 1330</w:t>
      </w:r>
    </w:p>
    <w:p w14:paraId="2B9B936B" w14:textId="15FB0098" w:rsidR="00836AF7" w:rsidRPr="00FC4067" w:rsidRDefault="00836AF7" w:rsidP="00CF0A4C">
      <w:pPr>
        <w:pStyle w:val="Officelocationstyle"/>
      </w:pPr>
      <w:r w:rsidRPr="00FC4067">
        <w:t xml:space="preserve">Weipa </w:t>
      </w:r>
      <w:r w:rsidR="00041972" w:rsidRPr="00FC4067">
        <w:t xml:space="preserve">Qld </w:t>
      </w:r>
      <w:r w:rsidRPr="00FC4067">
        <w:t>4874</w:t>
      </w:r>
    </w:p>
    <w:p w14:paraId="0A733B8D" w14:textId="7A4CE5ED" w:rsidR="00836AF7" w:rsidRPr="00FC4067" w:rsidRDefault="0084387E" w:rsidP="00CF0A4C">
      <w:pPr>
        <w:pStyle w:val="Officelocationstyle"/>
      </w:pPr>
      <w:r w:rsidRPr="00FC4067">
        <w:t xml:space="preserve">Phone: </w:t>
      </w:r>
      <w:r w:rsidR="00836AF7" w:rsidRPr="00FC4067">
        <w:t>07 4082 4702</w:t>
      </w:r>
    </w:p>
    <w:p w14:paraId="01C0553C" w14:textId="550924FF" w:rsidR="00836AF7" w:rsidRPr="00FC4067" w:rsidRDefault="00836AF7" w:rsidP="00CF0A4C">
      <w:pPr>
        <w:pStyle w:val="Officelocationstyle"/>
      </w:pPr>
      <w:r w:rsidRPr="00FC4067">
        <w:t>Fax: 07 4069 7348</w:t>
      </w:r>
    </w:p>
    <w:p w14:paraId="4A929D70" w14:textId="77777777" w:rsidR="00836AF7" w:rsidRPr="00FC4067" w:rsidRDefault="00836AF7" w:rsidP="00CF0A4C">
      <w:pPr>
        <w:pStyle w:val="Officelocationstyle"/>
      </w:pPr>
      <w:r w:rsidRPr="00FC4067">
        <w:t>Maintenance enquiries 1300 650 910</w:t>
      </w:r>
    </w:p>
    <w:p w14:paraId="75AEA5D5" w14:textId="77777777" w:rsidR="00836AF7" w:rsidRPr="00FC4067" w:rsidRDefault="00836AF7" w:rsidP="00CF0A4C">
      <w:pPr>
        <w:pStyle w:val="Officelocationstyle"/>
      </w:pPr>
      <w:r w:rsidRPr="00FC4067">
        <w:t>If the office is unattended contact the Cape York HSC Cairns</w:t>
      </w:r>
    </w:p>
    <w:p w14:paraId="481CCC8C" w14:textId="77777777" w:rsidR="00836AF7" w:rsidRPr="00FC4067" w:rsidRDefault="00836AF7" w:rsidP="00CF0A4C">
      <w:pPr>
        <w:pStyle w:val="Officelocationstyle"/>
      </w:pPr>
    </w:p>
    <w:p w14:paraId="13DFED8E" w14:textId="61144FF5" w:rsidR="00836AF7" w:rsidRPr="00FC4067" w:rsidRDefault="00836AF7" w:rsidP="00CF0A4C">
      <w:pPr>
        <w:pStyle w:val="Officelocationstyle"/>
      </w:pPr>
      <w:r w:rsidRPr="00FC4067">
        <w:rPr>
          <w:b/>
          <w:bCs/>
        </w:rPr>
        <w:t>Mapoon:</w:t>
      </w:r>
      <w:r w:rsidRPr="00FC4067">
        <w:t xml:space="preserve"> 8.30am – 4.00pm Monday – Thursday 1 Red Beach Road at the Land and Sea office Mapoon </w:t>
      </w:r>
      <w:r w:rsidR="0084387E" w:rsidRPr="00FC4067">
        <w:t xml:space="preserve">Qld </w:t>
      </w:r>
      <w:r w:rsidRPr="00FC4067">
        <w:t>4874</w:t>
      </w:r>
    </w:p>
    <w:p w14:paraId="10A91A22" w14:textId="0FC176FE" w:rsidR="00836AF7" w:rsidRPr="00FC4067" w:rsidRDefault="00836AF7" w:rsidP="00CF0A4C">
      <w:pPr>
        <w:pStyle w:val="Officelocationstyle"/>
      </w:pPr>
      <w:r w:rsidRPr="00FC4067">
        <w:t xml:space="preserve">PO Box 1330 Weipa </w:t>
      </w:r>
      <w:r w:rsidR="005D2C51" w:rsidRPr="00FC4067">
        <w:t xml:space="preserve">Qld </w:t>
      </w:r>
      <w:r w:rsidRPr="00FC4067">
        <w:t>4874</w:t>
      </w:r>
    </w:p>
    <w:p w14:paraId="425C5102" w14:textId="71122AE3" w:rsidR="00836AF7" w:rsidRPr="00FC4067" w:rsidRDefault="00836AF7" w:rsidP="00CF0A4C">
      <w:pPr>
        <w:pStyle w:val="Officelocationstyle"/>
      </w:pPr>
      <w:r w:rsidRPr="00FC4067">
        <w:t>07 4090 9012</w:t>
      </w:r>
    </w:p>
    <w:p w14:paraId="2A4A9017" w14:textId="77777777" w:rsidR="0060178E" w:rsidRPr="00FC4067" w:rsidRDefault="00836AF7" w:rsidP="00CF0A4C">
      <w:pPr>
        <w:pStyle w:val="Officelocationstyle"/>
      </w:pPr>
      <w:r w:rsidRPr="00FC4067">
        <w:t xml:space="preserve">If the office is unattended contact Weipa Hub </w:t>
      </w:r>
    </w:p>
    <w:p w14:paraId="6A9C9E94" w14:textId="23E33D07" w:rsidR="00836AF7" w:rsidRPr="00FC4067" w:rsidRDefault="00836AF7" w:rsidP="00CF0A4C">
      <w:pPr>
        <w:pStyle w:val="Officelocationstyle"/>
      </w:pPr>
      <w:r w:rsidRPr="00FC4067">
        <w:t>0</w:t>
      </w:r>
      <w:r w:rsidR="0060178E" w:rsidRPr="00FC4067">
        <w:t>7</w:t>
      </w:r>
      <w:r w:rsidRPr="00FC4067">
        <w:t xml:space="preserve"> 4082 4702 or</w:t>
      </w:r>
    </w:p>
    <w:p w14:paraId="07C3F423" w14:textId="77777777" w:rsidR="0060178E" w:rsidRPr="00FC4067" w:rsidRDefault="00836AF7" w:rsidP="00CF0A4C">
      <w:pPr>
        <w:pStyle w:val="Officelocationstyle"/>
      </w:pPr>
      <w:r w:rsidRPr="00FC4067">
        <w:t xml:space="preserve">Cape York HSC Cairns </w:t>
      </w:r>
    </w:p>
    <w:p w14:paraId="157C8057" w14:textId="71AF0C11" w:rsidR="00836AF7" w:rsidRPr="00FC4067" w:rsidRDefault="00836AF7" w:rsidP="00CF0A4C">
      <w:pPr>
        <w:pStyle w:val="Officelocationstyle"/>
      </w:pPr>
      <w:r w:rsidRPr="00FC4067">
        <w:t>07 4036 5555</w:t>
      </w:r>
    </w:p>
    <w:p w14:paraId="645444A6" w14:textId="77777777" w:rsidR="00836AF7" w:rsidRPr="00FC4067" w:rsidRDefault="00836AF7" w:rsidP="00CF0A4C">
      <w:pPr>
        <w:pStyle w:val="Officelocationstyle"/>
      </w:pPr>
    </w:p>
    <w:p w14:paraId="0FDA733E" w14:textId="06D9C564" w:rsidR="00836AF7" w:rsidRPr="00FC4067" w:rsidRDefault="00836AF7" w:rsidP="00CF0A4C">
      <w:pPr>
        <w:pStyle w:val="Officelocationstyle"/>
      </w:pPr>
      <w:r w:rsidRPr="00FC4067">
        <w:rPr>
          <w:b/>
          <w:bCs/>
        </w:rPr>
        <w:t>Napranum</w:t>
      </w:r>
      <w:r w:rsidR="00743315" w:rsidRPr="00FC4067">
        <w:rPr>
          <w:b/>
          <w:bCs/>
        </w:rPr>
        <w:t xml:space="preserve"> Community Office</w:t>
      </w:r>
      <w:r w:rsidRPr="00FC4067">
        <w:rPr>
          <w:b/>
          <w:bCs/>
        </w:rPr>
        <w:t>:</w:t>
      </w:r>
      <w:r w:rsidRPr="00FC4067">
        <w:t xml:space="preserve"> </w:t>
      </w:r>
    </w:p>
    <w:p w14:paraId="06B0A034" w14:textId="2E715D2E" w:rsidR="00743315" w:rsidRPr="00FC4067" w:rsidRDefault="00743315" w:rsidP="00CF0A4C">
      <w:pPr>
        <w:pStyle w:val="Officelocationstyle"/>
      </w:pPr>
      <w:r w:rsidRPr="00FC4067">
        <w:t>3201 Wa-Tyne Street</w:t>
      </w:r>
    </w:p>
    <w:p w14:paraId="1E37CD51" w14:textId="77777777" w:rsidR="00836AF7" w:rsidRPr="00FC4067" w:rsidRDefault="00836AF7" w:rsidP="00CF0A4C">
      <w:pPr>
        <w:pStyle w:val="Officelocationstyle"/>
      </w:pPr>
      <w:r w:rsidRPr="00FC4067">
        <w:t xml:space="preserve">Napranum </w:t>
      </w:r>
      <w:r w:rsidR="003C099E" w:rsidRPr="00FC4067">
        <w:t xml:space="preserve">Qld </w:t>
      </w:r>
      <w:r w:rsidRPr="00FC4067">
        <w:t>4874</w:t>
      </w:r>
    </w:p>
    <w:p w14:paraId="04A765C5" w14:textId="77777777" w:rsidR="00E154D3" w:rsidRPr="00FC4067" w:rsidRDefault="00836AF7" w:rsidP="00CF0A4C">
      <w:pPr>
        <w:pStyle w:val="Officelocationstyle"/>
      </w:pPr>
      <w:r w:rsidRPr="00FC4067">
        <w:t xml:space="preserve">PO Box 1330 </w:t>
      </w:r>
    </w:p>
    <w:p w14:paraId="3042981D" w14:textId="10686401" w:rsidR="00836AF7" w:rsidRPr="00FC4067" w:rsidRDefault="00836AF7" w:rsidP="00CF0A4C">
      <w:pPr>
        <w:pStyle w:val="Officelocationstyle"/>
      </w:pPr>
      <w:r w:rsidRPr="00FC4067">
        <w:t xml:space="preserve">Weipa </w:t>
      </w:r>
      <w:r w:rsidR="00E154D3" w:rsidRPr="00FC4067">
        <w:t xml:space="preserve">Qld </w:t>
      </w:r>
      <w:r w:rsidRPr="00FC4067">
        <w:t>4874</w:t>
      </w:r>
    </w:p>
    <w:p w14:paraId="05D25300" w14:textId="54D866F5" w:rsidR="00836AF7" w:rsidRPr="00FC4067" w:rsidRDefault="00743315" w:rsidP="00CF0A4C">
      <w:pPr>
        <w:pStyle w:val="Officelocationstyle"/>
      </w:pPr>
      <w:r w:rsidRPr="00FC4067">
        <w:t>Phone: No listing</w:t>
      </w:r>
    </w:p>
    <w:p w14:paraId="2126F5BF" w14:textId="77777777" w:rsidR="007F11D1" w:rsidRPr="00FC4067" w:rsidRDefault="00836AF7" w:rsidP="00CF0A4C">
      <w:pPr>
        <w:pStyle w:val="Officelocationstyle"/>
      </w:pPr>
      <w:r w:rsidRPr="00FC4067">
        <w:t xml:space="preserve">If the office is unattended contact Weipa Hub </w:t>
      </w:r>
    </w:p>
    <w:p w14:paraId="70C6DEE5" w14:textId="02215C9A" w:rsidR="00836AF7" w:rsidRPr="00FC4067" w:rsidRDefault="00836AF7" w:rsidP="00CF0A4C">
      <w:pPr>
        <w:pStyle w:val="Officelocationstyle"/>
      </w:pPr>
      <w:r w:rsidRPr="00FC4067">
        <w:t>07 4082 4702 or</w:t>
      </w:r>
    </w:p>
    <w:p w14:paraId="095EC2BA" w14:textId="54EA3BF6" w:rsidR="007F11D1" w:rsidRPr="00FC4067" w:rsidRDefault="00836AF7" w:rsidP="00CF0A4C">
      <w:pPr>
        <w:pStyle w:val="Officelocationstyle"/>
      </w:pPr>
      <w:r w:rsidRPr="00FC4067">
        <w:t xml:space="preserve">Cape York HSC Cairns </w:t>
      </w:r>
    </w:p>
    <w:p w14:paraId="05AB99DB" w14:textId="76DC50A8" w:rsidR="00743315" w:rsidRPr="00FC4067" w:rsidRDefault="00836AF7" w:rsidP="00FC4067">
      <w:pPr>
        <w:pStyle w:val="Officelocationstyle"/>
      </w:pPr>
      <w:r w:rsidRPr="00FC4067">
        <w:t>07 4036 5555</w:t>
      </w:r>
    </w:p>
    <w:p w14:paraId="71E62BD0" w14:textId="5D08F051" w:rsidR="00836AF7" w:rsidRPr="00FC4067" w:rsidRDefault="00836AF7" w:rsidP="00CF0A4C">
      <w:pPr>
        <w:pStyle w:val="Officelocationsheadings"/>
      </w:pPr>
      <w:r w:rsidRPr="00FC4067">
        <w:t>Thursday Island Housing Service Centre</w:t>
      </w:r>
    </w:p>
    <w:p w14:paraId="262BCEF6" w14:textId="77777777" w:rsidR="00836AF7" w:rsidRPr="00FC4067" w:rsidRDefault="00836AF7" w:rsidP="00CF0A4C">
      <w:pPr>
        <w:pStyle w:val="Officelocationstyle"/>
      </w:pPr>
      <w:r w:rsidRPr="00FC4067">
        <w:t>37-45 Douglas Street</w:t>
      </w:r>
    </w:p>
    <w:p w14:paraId="79AF8BB4" w14:textId="77777777" w:rsidR="00836AF7" w:rsidRPr="00FC4067" w:rsidRDefault="00836AF7" w:rsidP="00CF0A4C">
      <w:pPr>
        <w:pStyle w:val="Officelocationstyle"/>
      </w:pPr>
      <w:r w:rsidRPr="00FC4067">
        <w:t>PO Box 514</w:t>
      </w:r>
    </w:p>
    <w:p w14:paraId="5E8F7E83" w14:textId="645ECC1F" w:rsidR="00836AF7" w:rsidRPr="00FC4067" w:rsidRDefault="00836AF7" w:rsidP="00CF0A4C">
      <w:pPr>
        <w:pStyle w:val="Officelocationstyle"/>
      </w:pPr>
      <w:r w:rsidRPr="00FC4067">
        <w:t>T</w:t>
      </w:r>
      <w:r w:rsidR="00B06569" w:rsidRPr="00FC4067">
        <w:t>hursday Island Qld</w:t>
      </w:r>
      <w:r w:rsidRPr="00FC4067">
        <w:t xml:space="preserve"> 4875</w:t>
      </w:r>
    </w:p>
    <w:p w14:paraId="41F546D3" w14:textId="0969B972" w:rsidR="00836AF7" w:rsidRPr="00FC4067" w:rsidRDefault="00B06569" w:rsidP="00CF0A4C">
      <w:pPr>
        <w:pStyle w:val="Officelocationstyle"/>
      </w:pPr>
      <w:r w:rsidRPr="00FC4067">
        <w:t xml:space="preserve">Phone: </w:t>
      </w:r>
      <w:r w:rsidR="00836AF7" w:rsidRPr="00FC4067">
        <w:t>07 4212 3700</w:t>
      </w:r>
    </w:p>
    <w:p w14:paraId="79AAE151" w14:textId="37FC0F93" w:rsidR="00836AF7" w:rsidRPr="00FC4067" w:rsidRDefault="00836AF7" w:rsidP="00CF0A4C">
      <w:pPr>
        <w:pStyle w:val="Officelocationstyle"/>
      </w:pPr>
      <w:r w:rsidRPr="00FC4067">
        <w:t>Maintenance enquiries</w:t>
      </w:r>
      <w:r w:rsidRPr="00FC4067">
        <w:rPr>
          <w:b/>
          <w:bCs/>
        </w:rPr>
        <w:t>:</w:t>
      </w:r>
      <w:r w:rsidRPr="00FC4067">
        <w:t xml:space="preserve"> 1300 650 910</w:t>
      </w:r>
    </w:p>
    <w:p w14:paraId="2B92EA5F" w14:textId="5BEE46FA" w:rsidR="00836AF7" w:rsidRPr="00FC4067" w:rsidRDefault="00836AF7" w:rsidP="00CF0A4C">
      <w:pPr>
        <w:pStyle w:val="Officelocationstyle"/>
        <w:rPr>
          <w:sz w:val="20"/>
          <w:szCs w:val="20"/>
        </w:rPr>
      </w:pPr>
      <w:r w:rsidRPr="00FC4067">
        <w:rPr>
          <w:sz w:val="20"/>
          <w:szCs w:val="20"/>
        </w:rPr>
        <w:t>Email:</w:t>
      </w:r>
      <w:hyperlink r:id="rId30">
        <w:r w:rsidRPr="00FC4067">
          <w:rPr>
            <w:rStyle w:val="Hyperlink"/>
            <w:sz w:val="20"/>
            <w:szCs w:val="20"/>
          </w:rPr>
          <w:t>thursdayislandhsc@hpw.qld.gov.au</w:t>
        </w:r>
      </w:hyperlink>
    </w:p>
    <w:p w14:paraId="3E36016C" w14:textId="77777777" w:rsidR="00836AF7" w:rsidRPr="00FC4067" w:rsidRDefault="00836AF7" w:rsidP="00CF0A4C">
      <w:pPr>
        <w:pStyle w:val="Officelocationstyle"/>
      </w:pPr>
    </w:p>
    <w:p w14:paraId="38E16DF1" w14:textId="58E858BD" w:rsidR="00836AF7" w:rsidRPr="00FC4067" w:rsidRDefault="00836AF7" w:rsidP="00CF0A4C">
      <w:pPr>
        <w:pStyle w:val="Officelocationsheadings"/>
      </w:pPr>
      <w:r w:rsidRPr="00FC4067">
        <w:t>Thursday Island Housing Service Centre - Kubin Hub</w:t>
      </w:r>
    </w:p>
    <w:p w14:paraId="64A12ED6" w14:textId="40105D3A" w:rsidR="00AD373A" w:rsidRPr="00FC4067" w:rsidRDefault="00AD373A" w:rsidP="00FC4067">
      <w:pPr>
        <w:pStyle w:val="Officelocationsheadings"/>
        <w:spacing w:before="0"/>
        <w:rPr>
          <w:b w:val="0"/>
        </w:rPr>
      </w:pPr>
      <w:r w:rsidRPr="00FC4067">
        <w:rPr>
          <w:b w:val="0"/>
        </w:rPr>
        <w:t>Ikilgau Yabu</w:t>
      </w:r>
    </w:p>
    <w:p w14:paraId="4ED55C27" w14:textId="643098A7" w:rsidR="00AD373A" w:rsidRPr="00FC4067" w:rsidRDefault="00AD373A" w:rsidP="00FC4067">
      <w:pPr>
        <w:pStyle w:val="Officelocationsheadings"/>
        <w:spacing w:before="0"/>
        <w:rPr>
          <w:b w:val="0"/>
        </w:rPr>
      </w:pPr>
      <w:r w:rsidRPr="00FC4067">
        <w:rPr>
          <w:b w:val="0"/>
        </w:rPr>
        <w:t>C/- Torres Strait Island Regional Council Office</w:t>
      </w:r>
    </w:p>
    <w:p w14:paraId="375D2E63" w14:textId="4C559A22" w:rsidR="00AD373A" w:rsidRPr="00FC4067" w:rsidRDefault="00AD373A" w:rsidP="00FC4067">
      <w:pPr>
        <w:pStyle w:val="Officelocationsheadings"/>
        <w:spacing w:before="0"/>
        <w:rPr>
          <w:b w:val="0"/>
        </w:rPr>
      </w:pPr>
      <w:r w:rsidRPr="00FC4067">
        <w:rPr>
          <w:b w:val="0"/>
        </w:rPr>
        <w:t>Kubin Qld 4875</w:t>
      </w:r>
    </w:p>
    <w:p w14:paraId="0B06DF53" w14:textId="32CB691D" w:rsidR="00AD373A" w:rsidRPr="00FC4067" w:rsidRDefault="00AD373A" w:rsidP="00FC4067">
      <w:pPr>
        <w:pStyle w:val="Officelocationsheadings"/>
        <w:spacing w:before="0"/>
        <w:rPr>
          <w:b w:val="0"/>
        </w:rPr>
      </w:pPr>
      <w:r w:rsidRPr="00FC4067">
        <w:rPr>
          <w:b w:val="0"/>
        </w:rPr>
        <w:t>Moa Island</w:t>
      </w:r>
    </w:p>
    <w:p w14:paraId="408C3907" w14:textId="340AF95F" w:rsidR="00AD373A" w:rsidRPr="00FC4067" w:rsidRDefault="00AD373A" w:rsidP="00FC4067">
      <w:pPr>
        <w:pStyle w:val="Officelocationsheadings"/>
        <w:spacing w:before="0"/>
        <w:rPr>
          <w:b w:val="0"/>
        </w:rPr>
      </w:pPr>
      <w:r w:rsidRPr="00FC4067">
        <w:rPr>
          <w:b w:val="0"/>
        </w:rPr>
        <w:t>PO Box 514</w:t>
      </w:r>
    </w:p>
    <w:p w14:paraId="240D8270" w14:textId="311C294C" w:rsidR="00AD373A" w:rsidRPr="00FC4067" w:rsidRDefault="00AD373A" w:rsidP="00FC4067">
      <w:pPr>
        <w:pStyle w:val="Officelocationsheadings"/>
        <w:spacing w:before="0"/>
        <w:rPr>
          <w:b w:val="0"/>
        </w:rPr>
      </w:pPr>
      <w:r w:rsidRPr="00FC4067">
        <w:rPr>
          <w:b w:val="0"/>
        </w:rPr>
        <w:t>Thursday Island Qld 4875</w:t>
      </w:r>
    </w:p>
    <w:p w14:paraId="56F8F9CD" w14:textId="77777777" w:rsidR="00AD373A" w:rsidRPr="00FC4067" w:rsidRDefault="00AD373A" w:rsidP="00FC4067">
      <w:pPr>
        <w:pStyle w:val="Officelocationstyle"/>
      </w:pPr>
      <w:r w:rsidRPr="00FC4067">
        <w:t>9.00am – 2.00pm Monday to Thursday</w:t>
      </w:r>
    </w:p>
    <w:p w14:paraId="4A73BDDA" w14:textId="2F4A7861" w:rsidR="00AD373A" w:rsidRPr="00FC4067" w:rsidRDefault="00AD373A" w:rsidP="00FC4067">
      <w:pPr>
        <w:pStyle w:val="Officelocationstyle"/>
      </w:pPr>
      <w:r w:rsidRPr="00FC4067">
        <w:t>Phone: No listing – call Thursday Island HSC 07 4212 3700</w:t>
      </w:r>
    </w:p>
    <w:p w14:paraId="07E2F2FD" w14:textId="77777777" w:rsidR="00836AF7" w:rsidRPr="00FC4067" w:rsidRDefault="00836AF7" w:rsidP="00CF0A4C">
      <w:pPr>
        <w:pStyle w:val="Officelocationstyle"/>
      </w:pPr>
    </w:p>
    <w:p w14:paraId="7566BE5B" w14:textId="77777777" w:rsidR="00915979" w:rsidRPr="00FC4067" w:rsidRDefault="00915979" w:rsidP="00792F33">
      <w:pPr>
        <w:pStyle w:val="Heading3"/>
      </w:pPr>
      <w:r w:rsidRPr="00FC4067">
        <w:t>NORTH QUEENSLAND REGION</w:t>
      </w:r>
    </w:p>
    <w:p w14:paraId="01A1988E" w14:textId="77777777" w:rsidR="00915979" w:rsidRPr="00FC4067" w:rsidRDefault="00915979" w:rsidP="00CF0A4C">
      <w:pPr>
        <w:pStyle w:val="Officelocationsheadings"/>
      </w:pPr>
      <w:r w:rsidRPr="00FC4067">
        <w:t>Office of the Regional Director, North Queensland Region</w:t>
      </w:r>
    </w:p>
    <w:p w14:paraId="0D260E55" w14:textId="4F818432" w:rsidR="007240F2" w:rsidRPr="00FC4067" w:rsidRDefault="007240F2" w:rsidP="00CF0A4C">
      <w:pPr>
        <w:pStyle w:val="Officelocationstyle"/>
      </w:pPr>
      <w:r w:rsidRPr="00FC4067">
        <w:t>Level 2, Yellow Foyer</w:t>
      </w:r>
    </w:p>
    <w:p w14:paraId="2F663DDA" w14:textId="2C7B317B" w:rsidR="00915979" w:rsidRPr="00FC4067" w:rsidRDefault="00915979" w:rsidP="00CF0A4C">
      <w:pPr>
        <w:pStyle w:val="Officelocationstyle"/>
      </w:pPr>
      <w:r w:rsidRPr="00FC4067">
        <w:t>143 Walker Street</w:t>
      </w:r>
    </w:p>
    <w:p w14:paraId="005FABDE" w14:textId="77777777" w:rsidR="00915979" w:rsidRPr="00FC4067" w:rsidRDefault="00915979" w:rsidP="00CF0A4C">
      <w:pPr>
        <w:pStyle w:val="Officelocationstyle"/>
      </w:pPr>
      <w:r w:rsidRPr="00FC4067">
        <w:t>PO Box 953</w:t>
      </w:r>
    </w:p>
    <w:p w14:paraId="71511031" w14:textId="77777777" w:rsidR="00915979" w:rsidRPr="00FC4067" w:rsidRDefault="00915979" w:rsidP="00CF0A4C">
      <w:pPr>
        <w:pStyle w:val="Officelocationstyle"/>
      </w:pPr>
      <w:r w:rsidRPr="00FC4067">
        <w:t>Townsville Qld 4810</w:t>
      </w:r>
    </w:p>
    <w:p w14:paraId="28907C86" w14:textId="31A903B7" w:rsidR="00915979" w:rsidRPr="00FC4067" w:rsidRDefault="00915979" w:rsidP="00CF0A4C">
      <w:pPr>
        <w:pStyle w:val="Officelocationstyle"/>
      </w:pPr>
      <w:r w:rsidRPr="00FC4067">
        <w:t>Phone: 07 4724 8571</w:t>
      </w:r>
    </w:p>
    <w:p w14:paraId="074A0B94" w14:textId="77777777" w:rsidR="00915979" w:rsidRPr="00FC4067" w:rsidRDefault="00915979" w:rsidP="00025FA3">
      <w:pPr>
        <w:pStyle w:val="Officelocationsheadings"/>
        <w:rPr>
          <w:rFonts w:eastAsia="Arial"/>
        </w:rPr>
      </w:pPr>
      <w:r w:rsidRPr="00FC4067">
        <w:t>Collinsville Queensland Government</w:t>
      </w:r>
      <w:r w:rsidRPr="00912E38">
        <w:t xml:space="preserve"> </w:t>
      </w:r>
      <w:r w:rsidRPr="00FC4067">
        <w:t>Agent Program</w:t>
      </w:r>
    </w:p>
    <w:p w14:paraId="3EAADE25" w14:textId="77777777" w:rsidR="00915979" w:rsidRPr="00FC4067" w:rsidRDefault="00915979" w:rsidP="00CF0A4C">
      <w:pPr>
        <w:pStyle w:val="Officelocationstyle"/>
        <w:rPr>
          <w:rFonts w:eastAsia="Arial"/>
        </w:rPr>
      </w:pPr>
      <w:r w:rsidRPr="00FC4067">
        <w:t>64 Sonoma Street</w:t>
      </w:r>
    </w:p>
    <w:p w14:paraId="3C18FFD1" w14:textId="77777777" w:rsidR="00915979" w:rsidRPr="00FC4067" w:rsidRDefault="00915979" w:rsidP="00CF0A4C">
      <w:pPr>
        <w:pStyle w:val="Officelocationstyle"/>
        <w:rPr>
          <w:rFonts w:eastAsia="Arial"/>
        </w:rPr>
      </w:pPr>
      <w:r w:rsidRPr="00FC4067">
        <w:t>PO Box 58</w:t>
      </w:r>
    </w:p>
    <w:p w14:paraId="261ACE9E" w14:textId="55841F29" w:rsidR="00915979" w:rsidRPr="00FC4067" w:rsidRDefault="00915979" w:rsidP="00CF0A4C">
      <w:pPr>
        <w:pStyle w:val="Officelocationstyle"/>
        <w:rPr>
          <w:rFonts w:eastAsia="Arial"/>
        </w:rPr>
      </w:pPr>
      <w:r w:rsidRPr="00FC4067">
        <w:t>C</w:t>
      </w:r>
      <w:r w:rsidR="0086537D" w:rsidRPr="00FC4067">
        <w:t>ollinsville Qld</w:t>
      </w:r>
      <w:r w:rsidRPr="00FC4067">
        <w:t xml:space="preserve"> 4804</w:t>
      </w:r>
    </w:p>
    <w:p w14:paraId="6D754722" w14:textId="7F96448D" w:rsidR="00915979" w:rsidRPr="00FC4067" w:rsidRDefault="0086537D" w:rsidP="00CF0A4C">
      <w:pPr>
        <w:pStyle w:val="Officelocationstyle"/>
        <w:rPr>
          <w:rFonts w:eastAsia="Arial"/>
        </w:rPr>
      </w:pPr>
      <w:r w:rsidRPr="00FC4067">
        <w:t xml:space="preserve">Phone: </w:t>
      </w:r>
      <w:r w:rsidR="00915979" w:rsidRPr="00FC4067">
        <w:t>07 4</w:t>
      </w:r>
      <w:r w:rsidR="00A119C6" w:rsidRPr="00FC4067">
        <w:t>785 5567</w:t>
      </w:r>
    </w:p>
    <w:p w14:paraId="4A05E563" w14:textId="3C514F1E" w:rsidR="00915979" w:rsidRPr="00FC4067" w:rsidRDefault="00915979" w:rsidP="00CF0A4C">
      <w:pPr>
        <w:pStyle w:val="Officelocationstyle"/>
      </w:pPr>
      <w:r w:rsidRPr="00FC4067">
        <w:t>9.00am to 12.30pm and 2.00pm to 4.30pm - Monday to Friday</w:t>
      </w:r>
    </w:p>
    <w:p w14:paraId="12A929D9" w14:textId="77777777" w:rsidR="00915979" w:rsidRPr="00FC4067" w:rsidRDefault="00915979" w:rsidP="00025FA3">
      <w:pPr>
        <w:pStyle w:val="Officelocationsheadings"/>
        <w:rPr>
          <w:rFonts w:eastAsia="Arial"/>
        </w:rPr>
      </w:pPr>
      <w:r w:rsidRPr="00FC4067">
        <w:t>Mackay Housing Service</w:t>
      </w:r>
      <w:r w:rsidRPr="00912E38">
        <w:t xml:space="preserve"> </w:t>
      </w:r>
      <w:r w:rsidRPr="00FC4067">
        <w:t>Centre</w:t>
      </w:r>
    </w:p>
    <w:p w14:paraId="7EB73488" w14:textId="77777777" w:rsidR="00915979" w:rsidRPr="00FC4067" w:rsidRDefault="00915979" w:rsidP="00CF0A4C">
      <w:pPr>
        <w:pStyle w:val="Officelocationstyle"/>
        <w:rPr>
          <w:rFonts w:eastAsia="Arial"/>
        </w:rPr>
      </w:pPr>
      <w:r w:rsidRPr="00FC4067">
        <w:t>22-30 Wood Street</w:t>
      </w:r>
    </w:p>
    <w:p w14:paraId="55674947" w14:textId="77777777" w:rsidR="00915979" w:rsidRPr="00FC4067" w:rsidRDefault="00915979" w:rsidP="00CF0A4C">
      <w:pPr>
        <w:pStyle w:val="Officelocationstyle"/>
        <w:rPr>
          <w:rFonts w:eastAsia="Arial"/>
        </w:rPr>
      </w:pPr>
      <w:r w:rsidRPr="00FC4067">
        <w:t>PO Box 978</w:t>
      </w:r>
    </w:p>
    <w:p w14:paraId="76731D01" w14:textId="42D0D281" w:rsidR="00915979" w:rsidRPr="00FC4067" w:rsidRDefault="00915979" w:rsidP="00CF0A4C">
      <w:pPr>
        <w:pStyle w:val="Officelocationstyle"/>
        <w:rPr>
          <w:rFonts w:eastAsia="Arial"/>
        </w:rPr>
      </w:pPr>
      <w:r w:rsidRPr="00FC4067">
        <w:t>M</w:t>
      </w:r>
      <w:r w:rsidR="000B0899" w:rsidRPr="00FC4067">
        <w:t>ackay Qld</w:t>
      </w:r>
      <w:r w:rsidRPr="00FC4067">
        <w:t xml:space="preserve"> 4740</w:t>
      </w:r>
    </w:p>
    <w:p w14:paraId="6B726B8A" w14:textId="09F676B9" w:rsidR="00A25D13" w:rsidRPr="00FC4067" w:rsidRDefault="000B0899" w:rsidP="00CF0A4C">
      <w:pPr>
        <w:pStyle w:val="Officelocationstyle"/>
      </w:pPr>
      <w:r w:rsidRPr="00FC4067">
        <w:t xml:space="preserve">Phone: </w:t>
      </w:r>
      <w:r w:rsidR="00915979" w:rsidRPr="00FC4067">
        <w:t>07 4862 9500</w:t>
      </w:r>
    </w:p>
    <w:p w14:paraId="392CA500" w14:textId="5D1829DD" w:rsidR="00915979" w:rsidRPr="00FC4067" w:rsidRDefault="00915979" w:rsidP="00CF0A4C">
      <w:pPr>
        <w:pStyle w:val="Officelocationstyle"/>
        <w:rPr>
          <w:rFonts w:eastAsia="Arial"/>
        </w:rPr>
      </w:pPr>
      <w:r w:rsidRPr="00FC4067">
        <w:t>1800 069 237 (within area)</w:t>
      </w:r>
    </w:p>
    <w:p w14:paraId="56F8FA8D" w14:textId="77777777" w:rsidR="00913F2F" w:rsidRPr="00FC4067" w:rsidRDefault="00915979" w:rsidP="00CF0A4C">
      <w:pPr>
        <w:pStyle w:val="Officelocationstyle"/>
      </w:pPr>
      <w:r w:rsidRPr="00FC4067">
        <w:t>Maintenance enquiries:</w:t>
      </w:r>
    </w:p>
    <w:p w14:paraId="00C2D1BD" w14:textId="030AFA5A" w:rsidR="00915979" w:rsidRPr="00FC4067" w:rsidRDefault="00915979" w:rsidP="00CF0A4C">
      <w:pPr>
        <w:pStyle w:val="Officelocationstyle"/>
        <w:rPr>
          <w:rFonts w:eastAsia="Arial"/>
        </w:rPr>
      </w:pPr>
      <w:r w:rsidRPr="00FC4067">
        <w:t>1300 650 914</w:t>
      </w:r>
    </w:p>
    <w:p w14:paraId="5F3DF675" w14:textId="0609D01C" w:rsidR="00915979" w:rsidRPr="00FC4067" w:rsidRDefault="00915979" w:rsidP="00CF0A4C">
      <w:pPr>
        <w:pStyle w:val="Officelocationstyle"/>
      </w:pPr>
      <w:r w:rsidRPr="00FC4067">
        <w:rPr>
          <w:sz w:val="20"/>
          <w:szCs w:val="20"/>
        </w:rPr>
        <w:lastRenderedPageBreak/>
        <w:t>Email:</w:t>
      </w:r>
      <w:r w:rsidR="00914C4C">
        <w:rPr>
          <w:sz w:val="20"/>
          <w:szCs w:val="20"/>
        </w:rPr>
        <w:t xml:space="preserve"> </w:t>
      </w:r>
      <w:hyperlink r:id="rId31">
        <w:r w:rsidRPr="00FC4067">
          <w:rPr>
            <w:sz w:val="20"/>
            <w:szCs w:val="20"/>
            <w:u w:val="thick" w:color="003399"/>
          </w:rPr>
          <w:t>mackayhsc@hpw.qld.gov.au</w:t>
        </w:r>
      </w:hyperlink>
    </w:p>
    <w:p w14:paraId="7B1507EA" w14:textId="77777777" w:rsidR="00915979" w:rsidRPr="00FC4067" w:rsidRDefault="00915979" w:rsidP="00CF0A4C">
      <w:pPr>
        <w:pStyle w:val="Officelocationsheadings"/>
      </w:pPr>
      <w:r w:rsidRPr="00FC4067">
        <w:t>Mount Isa Housing Service Centre</w:t>
      </w:r>
    </w:p>
    <w:p w14:paraId="70DD9B62" w14:textId="77777777" w:rsidR="00915979" w:rsidRPr="00FC4067" w:rsidRDefault="00915979" w:rsidP="00CF0A4C">
      <w:pPr>
        <w:pStyle w:val="Officelocationstyle"/>
      </w:pPr>
      <w:r w:rsidRPr="00FC4067">
        <w:t>19 West Street</w:t>
      </w:r>
    </w:p>
    <w:p w14:paraId="009EF6B7" w14:textId="77777777" w:rsidR="00915979" w:rsidRPr="00FC4067" w:rsidRDefault="00915979" w:rsidP="00CF0A4C">
      <w:pPr>
        <w:pStyle w:val="Officelocationstyle"/>
      </w:pPr>
      <w:r w:rsidRPr="00FC4067">
        <w:t>PO Box 1866</w:t>
      </w:r>
    </w:p>
    <w:p w14:paraId="6D6B848C" w14:textId="58C21C5C" w:rsidR="00915979" w:rsidRPr="00FC4067" w:rsidRDefault="00915979" w:rsidP="00CF0A4C">
      <w:pPr>
        <w:pStyle w:val="Officelocationstyle"/>
      </w:pPr>
      <w:r w:rsidRPr="00FC4067">
        <w:t>M</w:t>
      </w:r>
      <w:r w:rsidR="000B0899" w:rsidRPr="00FC4067">
        <w:t>ount Isa</w:t>
      </w:r>
      <w:r w:rsidRPr="00FC4067">
        <w:t xml:space="preserve"> </w:t>
      </w:r>
      <w:r w:rsidR="000B0899" w:rsidRPr="00FC4067">
        <w:t xml:space="preserve">Qld </w:t>
      </w:r>
      <w:r w:rsidRPr="00FC4067">
        <w:t>4825</w:t>
      </w:r>
    </w:p>
    <w:p w14:paraId="52C2F792" w14:textId="4BA54807" w:rsidR="000B0899" w:rsidRPr="00FC4067" w:rsidRDefault="000B0899" w:rsidP="00CF0A4C">
      <w:pPr>
        <w:pStyle w:val="Officelocationstyle"/>
      </w:pPr>
      <w:r w:rsidRPr="00FC4067">
        <w:t xml:space="preserve">Phone: </w:t>
      </w:r>
      <w:r w:rsidR="00915979" w:rsidRPr="00FC4067">
        <w:t>07 4437 2700</w:t>
      </w:r>
    </w:p>
    <w:p w14:paraId="50C8E64C" w14:textId="32BB26FB" w:rsidR="00915979" w:rsidRPr="00FC4067" w:rsidRDefault="00915979" w:rsidP="00CF0A4C">
      <w:pPr>
        <w:pStyle w:val="Officelocationstyle"/>
      </w:pPr>
      <w:r w:rsidRPr="00FC4067">
        <w:t>1800 620 466 (within area)</w:t>
      </w:r>
    </w:p>
    <w:p w14:paraId="229F8F24" w14:textId="77777777" w:rsidR="00913F2F" w:rsidRPr="00FC4067" w:rsidRDefault="00915979" w:rsidP="00CF0A4C">
      <w:pPr>
        <w:pStyle w:val="Officelocationstyle"/>
      </w:pPr>
      <w:r w:rsidRPr="00FC4067">
        <w:t>Maintenance enquiries:</w:t>
      </w:r>
    </w:p>
    <w:p w14:paraId="2D0690F2" w14:textId="50D33E21" w:rsidR="0012520B" w:rsidRPr="00FC4067" w:rsidRDefault="00915979" w:rsidP="00CF0A4C">
      <w:pPr>
        <w:pStyle w:val="Officelocationstyle"/>
      </w:pPr>
      <w:r w:rsidRPr="00FC4067">
        <w:t xml:space="preserve">1300 650 912 </w:t>
      </w:r>
    </w:p>
    <w:p w14:paraId="6724CB21" w14:textId="3EE72D61" w:rsidR="00915979" w:rsidRPr="00FC4067" w:rsidRDefault="00915979" w:rsidP="00CF0A4C">
      <w:pPr>
        <w:pStyle w:val="Officelocationstyle"/>
      </w:pPr>
      <w:r w:rsidRPr="00FC4067">
        <w:rPr>
          <w:sz w:val="20"/>
          <w:szCs w:val="20"/>
        </w:rPr>
        <w:t xml:space="preserve">Email: </w:t>
      </w:r>
      <w:hyperlink r:id="rId32" w:history="1">
        <w:r w:rsidR="00F109E2" w:rsidRPr="00FC4067">
          <w:rPr>
            <w:rStyle w:val="Hyperlink"/>
            <w:sz w:val="20"/>
            <w:szCs w:val="20"/>
          </w:rPr>
          <w:t>mtisahsc@hpw.qld.gov.au</w:t>
        </w:r>
      </w:hyperlink>
    </w:p>
    <w:p w14:paraId="0389725B" w14:textId="7255B826" w:rsidR="00915979" w:rsidRPr="00FC4067" w:rsidRDefault="00915979" w:rsidP="00CF0A4C">
      <w:pPr>
        <w:pStyle w:val="Officelocationsheadings"/>
      </w:pPr>
      <w:r w:rsidRPr="00FC4067">
        <w:t xml:space="preserve">Mount lsa Housing Service Centre – Doomadgee </w:t>
      </w:r>
    </w:p>
    <w:p w14:paraId="4AF4BBD0" w14:textId="77777777" w:rsidR="00915979" w:rsidRPr="00FC4067" w:rsidRDefault="00915979" w:rsidP="00CF0A4C">
      <w:pPr>
        <w:pStyle w:val="Officelocationstyle"/>
      </w:pPr>
      <w:r w:rsidRPr="00FC4067">
        <w:t>8.30am – 4.30pm Monday to Friday</w:t>
      </w:r>
    </w:p>
    <w:p w14:paraId="02935CE6" w14:textId="77777777" w:rsidR="00140D9B" w:rsidRPr="00FC4067" w:rsidRDefault="00915979" w:rsidP="00CF0A4C">
      <w:pPr>
        <w:pStyle w:val="Officelocationstyle"/>
      </w:pPr>
      <w:r w:rsidRPr="00FC4067">
        <w:t xml:space="preserve">275 Sharpe Street Council Admin Building </w:t>
      </w:r>
    </w:p>
    <w:p w14:paraId="29D60197" w14:textId="2685E080" w:rsidR="00915979" w:rsidRPr="00FC4067" w:rsidRDefault="00915979" w:rsidP="00CF0A4C">
      <w:pPr>
        <w:pStyle w:val="Officelocationstyle"/>
      </w:pPr>
      <w:r w:rsidRPr="00FC4067">
        <w:t xml:space="preserve">Doomadgee </w:t>
      </w:r>
      <w:r w:rsidR="00140D9B" w:rsidRPr="00FC4067">
        <w:t xml:space="preserve">Qld </w:t>
      </w:r>
      <w:r w:rsidRPr="00FC4067">
        <w:t>4830</w:t>
      </w:r>
    </w:p>
    <w:p w14:paraId="1207CE55" w14:textId="77777777" w:rsidR="00915979" w:rsidRPr="00FC4067" w:rsidRDefault="00915979" w:rsidP="00CF0A4C">
      <w:pPr>
        <w:pStyle w:val="Officelocationstyle"/>
      </w:pPr>
      <w:r w:rsidRPr="00FC4067">
        <w:t>PO Box 1866</w:t>
      </w:r>
    </w:p>
    <w:p w14:paraId="50834980" w14:textId="42F7383E" w:rsidR="00915979" w:rsidRPr="00FC4067" w:rsidRDefault="00915979" w:rsidP="00CF0A4C">
      <w:pPr>
        <w:pStyle w:val="Officelocationstyle"/>
      </w:pPr>
      <w:r w:rsidRPr="00FC4067">
        <w:t>Mount Isa</w:t>
      </w:r>
      <w:r w:rsidR="00A25D13" w:rsidRPr="00FC4067">
        <w:t xml:space="preserve"> Qld</w:t>
      </w:r>
      <w:r w:rsidRPr="00FC4067">
        <w:t xml:space="preserve"> 4825</w:t>
      </w:r>
    </w:p>
    <w:p w14:paraId="6764C6B1" w14:textId="4EF44470" w:rsidR="0012520B" w:rsidRPr="00FC4067" w:rsidRDefault="00A25D13" w:rsidP="00CF0A4C">
      <w:pPr>
        <w:pStyle w:val="Officelocationstyle"/>
      </w:pPr>
      <w:r w:rsidRPr="00FC4067">
        <w:t xml:space="preserve">Phone: </w:t>
      </w:r>
      <w:r w:rsidR="00915979" w:rsidRPr="00FC4067">
        <w:t xml:space="preserve">07 4745 8351 if unattended call 07 4437 2700 </w:t>
      </w:r>
    </w:p>
    <w:p w14:paraId="0991AF05" w14:textId="26D293DC" w:rsidR="00915979" w:rsidRPr="00FC4067" w:rsidRDefault="00915979" w:rsidP="00CF0A4C">
      <w:pPr>
        <w:pStyle w:val="Officelocationstyle"/>
      </w:pPr>
      <w:r w:rsidRPr="00FC4067">
        <w:rPr>
          <w:sz w:val="20"/>
          <w:szCs w:val="20"/>
        </w:rPr>
        <w:t>Email</w:t>
      </w:r>
      <w:r w:rsidR="00F109E2" w:rsidRPr="00FC4067">
        <w:rPr>
          <w:sz w:val="20"/>
          <w:szCs w:val="20"/>
        </w:rPr>
        <w:t>:</w:t>
      </w:r>
      <w:r w:rsidRPr="00FC4067">
        <w:rPr>
          <w:sz w:val="20"/>
          <w:szCs w:val="20"/>
        </w:rPr>
        <w:t xml:space="preserve"> </w:t>
      </w:r>
      <w:hyperlink r:id="rId33">
        <w:r w:rsidRPr="00FC4067">
          <w:rPr>
            <w:sz w:val="20"/>
            <w:szCs w:val="20"/>
            <w:u w:val="single"/>
          </w:rPr>
          <w:t>HHSMtIsaRemoteComm@hpw.qld.gov.au</w:t>
        </w:r>
      </w:hyperlink>
      <w:r w:rsidR="0012520B" w:rsidRPr="00FC4067">
        <w:rPr>
          <w:sz w:val="20"/>
          <w:szCs w:val="20"/>
          <w:u w:val="single"/>
        </w:rPr>
        <w:t xml:space="preserve"> </w:t>
      </w:r>
    </w:p>
    <w:p w14:paraId="433ADBE5" w14:textId="7E5E8A35" w:rsidR="00915979" w:rsidRPr="00FC4067" w:rsidRDefault="00915979" w:rsidP="00CF0A4C">
      <w:pPr>
        <w:pStyle w:val="Officelocationsheadings"/>
      </w:pPr>
      <w:r w:rsidRPr="00FC4067">
        <w:t xml:space="preserve">Mount lsa Housing Service Centre – Mornington Island </w:t>
      </w:r>
    </w:p>
    <w:p w14:paraId="4412B17D" w14:textId="77777777" w:rsidR="00915979" w:rsidRPr="00FC4067" w:rsidRDefault="00915979" w:rsidP="00CF0A4C">
      <w:pPr>
        <w:pStyle w:val="Officelocationstyle"/>
      </w:pPr>
      <w:r w:rsidRPr="00FC4067">
        <w:t>8.30am – 4.30pm alternate weeks</w:t>
      </w:r>
    </w:p>
    <w:p w14:paraId="1C2FE553" w14:textId="77777777" w:rsidR="00915979" w:rsidRPr="00FC4067" w:rsidRDefault="00915979" w:rsidP="00CF0A4C">
      <w:pPr>
        <w:pStyle w:val="Officelocationstyle"/>
      </w:pPr>
      <w:r w:rsidRPr="00FC4067">
        <w:t>7 Lardil Street</w:t>
      </w:r>
    </w:p>
    <w:p w14:paraId="747D5D9E" w14:textId="77777777" w:rsidR="00FB6A28" w:rsidRPr="00FC4067" w:rsidRDefault="00915979" w:rsidP="00CF0A4C">
      <w:pPr>
        <w:pStyle w:val="Officelocationstyle"/>
      </w:pPr>
      <w:r w:rsidRPr="00FC4067">
        <w:t>Rural Transaction Centre Gununa</w:t>
      </w:r>
    </w:p>
    <w:p w14:paraId="73FBBC52" w14:textId="77777777" w:rsidR="002619F4" w:rsidRPr="00FC4067" w:rsidRDefault="002619F4" w:rsidP="00CF0A4C">
      <w:pPr>
        <w:pStyle w:val="Officelocationstyle"/>
      </w:pPr>
      <w:r w:rsidRPr="00FC4067">
        <w:t>Mornington Island Qld 4871</w:t>
      </w:r>
    </w:p>
    <w:p w14:paraId="087D66A5" w14:textId="77777777" w:rsidR="00915979" w:rsidRPr="00FC4067" w:rsidRDefault="00915979" w:rsidP="00CF0A4C">
      <w:pPr>
        <w:pStyle w:val="Officelocationstyle"/>
      </w:pPr>
      <w:r w:rsidRPr="00FC4067">
        <w:t>PO Box 1866</w:t>
      </w:r>
    </w:p>
    <w:p w14:paraId="4DD77F50" w14:textId="77777777" w:rsidR="00915979" w:rsidRPr="00FC4067" w:rsidRDefault="00915979" w:rsidP="00CF0A4C">
      <w:pPr>
        <w:pStyle w:val="Officelocationstyle"/>
      </w:pPr>
      <w:r w:rsidRPr="00FC4067">
        <w:t>Mount lsa Qld 4825</w:t>
      </w:r>
    </w:p>
    <w:p w14:paraId="1C44F534" w14:textId="600123F8" w:rsidR="00915979" w:rsidRPr="00FC4067" w:rsidRDefault="002619F4" w:rsidP="00CF0A4C">
      <w:pPr>
        <w:pStyle w:val="Officelocationstyle"/>
      </w:pPr>
      <w:r w:rsidRPr="00FC4067">
        <w:t>Ph</w:t>
      </w:r>
      <w:r w:rsidR="007B7C04">
        <w:t>one</w:t>
      </w:r>
      <w:r w:rsidRPr="00FC4067">
        <w:t xml:space="preserve">: </w:t>
      </w:r>
      <w:r w:rsidR="00915979" w:rsidRPr="00FC4067">
        <w:t xml:space="preserve">07 4745 7032 or </w:t>
      </w:r>
      <w:r w:rsidR="00F15F8B" w:rsidRPr="00FC4067">
        <w:t xml:space="preserve">07 </w:t>
      </w:r>
      <w:r w:rsidR="00915979" w:rsidRPr="00FC4067">
        <w:t>4745 7471</w:t>
      </w:r>
      <w:r w:rsidR="006A101D" w:rsidRPr="00FC4067">
        <w:t xml:space="preserve"> Fax: </w:t>
      </w:r>
      <w:r w:rsidR="00CD01CA">
        <w:t xml:space="preserve">07 </w:t>
      </w:r>
      <w:r w:rsidR="006A101D" w:rsidRPr="00FC4067">
        <w:t>4745 7483</w:t>
      </w:r>
    </w:p>
    <w:p w14:paraId="34F41A39" w14:textId="5C38EC67" w:rsidR="00915979" w:rsidRPr="00FC4067" w:rsidRDefault="00915979" w:rsidP="00CF0A4C">
      <w:pPr>
        <w:pStyle w:val="Officelocationstyle"/>
      </w:pPr>
      <w:r w:rsidRPr="00FC4067">
        <w:rPr>
          <w:sz w:val="20"/>
          <w:szCs w:val="20"/>
        </w:rPr>
        <w:t>Email</w:t>
      </w:r>
      <w:r w:rsidR="000C720E" w:rsidRPr="00FC4067">
        <w:rPr>
          <w:sz w:val="20"/>
          <w:szCs w:val="20"/>
        </w:rPr>
        <w:t>:</w:t>
      </w:r>
      <w:hyperlink r:id="rId34">
        <w:r w:rsidRPr="00FC4067">
          <w:rPr>
            <w:sz w:val="20"/>
            <w:szCs w:val="20"/>
            <w:u w:val="single"/>
          </w:rPr>
          <w:t>HHSMtIsaRemoteComm@hpw.qld.gov.au</w:t>
        </w:r>
      </w:hyperlink>
    </w:p>
    <w:p w14:paraId="3CF30DBA" w14:textId="77777777" w:rsidR="00915979" w:rsidRPr="00FC4067" w:rsidRDefault="00915979" w:rsidP="00CF0A4C">
      <w:pPr>
        <w:pStyle w:val="Officelocationsheadings"/>
      </w:pPr>
      <w:r w:rsidRPr="00FC4067">
        <w:t>Townsville Housing Service   Centre - Palm Island Community Office</w:t>
      </w:r>
    </w:p>
    <w:p w14:paraId="53627242" w14:textId="1B0CACD2" w:rsidR="00915979" w:rsidRPr="00FC4067" w:rsidRDefault="00915979" w:rsidP="00CF0A4C">
      <w:pPr>
        <w:pStyle w:val="Officelocationstyle"/>
      </w:pPr>
      <w:r w:rsidRPr="00FC4067">
        <w:t>Monday to Friday 08.30am</w:t>
      </w:r>
      <w:r w:rsidR="00A42089" w:rsidRPr="00FC4067">
        <w:t xml:space="preserve"> – </w:t>
      </w:r>
      <w:r w:rsidRPr="00FC4067">
        <w:t>4.30pm, Closed between 12.30pm</w:t>
      </w:r>
      <w:r w:rsidR="00A42089" w:rsidRPr="00FC4067">
        <w:t xml:space="preserve"> – </w:t>
      </w:r>
      <w:r w:rsidRPr="00FC4067">
        <w:t>13.15pm</w:t>
      </w:r>
    </w:p>
    <w:p w14:paraId="02C63814" w14:textId="77777777" w:rsidR="00915979" w:rsidRPr="00FC4067" w:rsidRDefault="00915979" w:rsidP="00CF0A4C">
      <w:pPr>
        <w:pStyle w:val="Officelocationstyle"/>
      </w:pPr>
      <w:r w:rsidRPr="00FC4067">
        <w:t xml:space="preserve">Lot 72 Main Street </w:t>
      </w:r>
    </w:p>
    <w:p w14:paraId="126DDF40" w14:textId="26732ED2" w:rsidR="00915979" w:rsidRPr="00FC4067" w:rsidRDefault="00915979" w:rsidP="00CF0A4C">
      <w:pPr>
        <w:pStyle w:val="Officelocationstyle"/>
      </w:pPr>
      <w:r w:rsidRPr="00FC4067">
        <w:t>Palm Island</w:t>
      </w:r>
      <w:r w:rsidR="00E16BEB" w:rsidRPr="00FC4067">
        <w:t xml:space="preserve"> </w:t>
      </w:r>
      <w:r w:rsidRPr="00FC4067">
        <w:t>Q</w:t>
      </w:r>
      <w:r w:rsidR="00E16BEB" w:rsidRPr="00FC4067">
        <w:t>ld</w:t>
      </w:r>
      <w:r w:rsidRPr="00FC4067">
        <w:t xml:space="preserve"> 4816</w:t>
      </w:r>
    </w:p>
    <w:p w14:paraId="1C1A5DAE" w14:textId="6FBB2A5F" w:rsidR="00915979" w:rsidRPr="00FC4067" w:rsidRDefault="00E16BEB" w:rsidP="00CF0A4C">
      <w:pPr>
        <w:pStyle w:val="Officelocationstyle"/>
      </w:pPr>
      <w:r w:rsidRPr="00FC4067">
        <w:t xml:space="preserve">Phone: </w:t>
      </w:r>
      <w:r w:rsidR="00A42089">
        <w:t xml:space="preserve">07 </w:t>
      </w:r>
      <w:r w:rsidR="00915979" w:rsidRPr="00FC4067">
        <w:t>4799 5382</w:t>
      </w:r>
    </w:p>
    <w:p w14:paraId="3A8892B9" w14:textId="77777777" w:rsidR="00915979" w:rsidRPr="00FC4067" w:rsidRDefault="00915979" w:rsidP="00CF0A4C">
      <w:pPr>
        <w:pStyle w:val="Officelocationstyle"/>
        <w:rPr>
          <w:sz w:val="20"/>
          <w:szCs w:val="20"/>
        </w:rPr>
      </w:pPr>
      <w:r w:rsidRPr="00FC4067">
        <w:rPr>
          <w:sz w:val="20"/>
          <w:szCs w:val="20"/>
        </w:rPr>
        <w:t xml:space="preserve">Email: </w:t>
      </w:r>
      <w:hyperlink r:id="rId35">
        <w:r w:rsidRPr="00FC4067">
          <w:rPr>
            <w:sz w:val="20"/>
            <w:szCs w:val="20"/>
            <w:u w:val="single"/>
          </w:rPr>
          <w:t>HHS-Palm-Island@hpw.qld.gov.au</w:t>
        </w:r>
      </w:hyperlink>
    </w:p>
    <w:p w14:paraId="24718F60" w14:textId="77777777" w:rsidR="00915979" w:rsidRPr="00FC4067" w:rsidRDefault="00915979" w:rsidP="00CF0A4C">
      <w:pPr>
        <w:pStyle w:val="Officelocationstyle"/>
      </w:pPr>
    </w:p>
    <w:p w14:paraId="33960EAC" w14:textId="77777777" w:rsidR="00915979" w:rsidRPr="00FC4067" w:rsidRDefault="00915979" w:rsidP="00CF0A4C">
      <w:pPr>
        <w:pStyle w:val="Officelocationsheadings"/>
      </w:pPr>
      <w:r w:rsidRPr="00FC4067">
        <w:t>Townsville Housing Service Centre</w:t>
      </w:r>
    </w:p>
    <w:p w14:paraId="1EBDAA30" w14:textId="77777777" w:rsidR="00915979" w:rsidRPr="00FC4067" w:rsidRDefault="00915979" w:rsidP="00CF0A4C">
      <w:pPr>
        <w:pStyle w:val="Officelocationstyle"/>
      </w:pPr>
      <w:r w:rsidRPr="00FC4067">
        <w:t>Level 2, 143 Walker Street</w:t>
      </w:r>
    </w:p>
    <w:p w14:paraId="6D36B4C6" w14:textId="77777777" w:rsidR="00915979" w:rsidRPr="00FC4067" w:rsidRDefault="00915979" w:rsidP="00CF0A4C">
      <w:pPr>
        <w:pStyle w:val="Officelocationstyle"/>
      </w:pPr>
      <w:r w:rsidRPr="00FC4067">
        <w:t>PO Box 953</w:t>
      </w:r>
    </w:p>
    <w:p w14:paraId="66C1F8C1" w14:textId="77777777" w:rsidR="00915979" w:rsidRPr="00FC4067" w:rsidRDefault="00915979" w:rsidP="00CF0A4C">
      <w:pPr>
        <w:pStyle w:val="Officelocationstyle"/>
      </w:pPr>
      <w:r w:rsidRPr="00FC4067">
        <w:t>Townsville Qld 4810</w:t>
      </w:r>
    </w:p>
    <w:p w14:paraId="3A70E273" w14:textId="77777777" w:rsidR="00915979" w:rsidRPr="00FC4067" w:rsidRDefault="00915979" w:rsidP="00CF0A4C">
      <w:pPr>
        <w:pStyle w:val="Officelocationstyle"/>
      </w:pPr>
      <w:r w:rsidRPr="00FC4067">
        <w:t>Phone: 07 4724 8500 or</w:t>
      </w:r>
    </w:p>
    <w:p w14:paraId="2BB5EAEC" w14:textId="48D635D3" w:rsidR="0012520B" w:rsidRPr="00FC4067" w:rsidRDefault="00915979" w:rsidP="00CF0A4C">
      <w:pPr>
        <w:pStyle w:val="Officelocationstyle"/>
      </w:pPr>
      <w:r w:rsidRPr="00FC4067">
        <w:t>Toll f</w:t>
      </w:r>
      <w:r w:rsidR="00FD5FA1" w:rsidRPr="00FC4067">
        <w:t>ree: 1800 806 197 (within area)</w:t>
      </w:r>
    </w:p>
    <w:p w14:paraId="51AC7378" w14:textId="4670F0E1" w:rsidR="0012520B" w:rsidRPr="00FC4067" w:rsidRDefault="00DD0E73" w:rsidP="00792F33">
      <w:pPr>
        <w:pStyle w:val="Heading3"/>
      </w:pPr>
      <w:r w:rsidRPr="00FC4067">
        <w:t>Central Queensland/North Coast Region</w:t>
      </w:r>
    </w:p>
    <w:p w14:paraId="5FD69C35" w14:textId="77777777" w:rsidR="0012520B" w:rsidRPr="00FC4067" w:rsidRDefault="0012520B" w:rsidP="00CF0A4C">
      <w:pPr>
        <w:pStyle w:val="Officelocationsheadings"/>
      </w:pPr>
      <w:r w:rsidRPr="00FC4067">
        <w:t>Office of the Regional Director, Central Queensland/North Coast Region</w:t>
      </w:r>
    </w:p>
    <w:p w14:paraId="47338062" w14:textId="05E3364E" w:rsidR="0012520B" w:rsidRPr="00FC4067" w:rsidRDefault="00986BB3" w:rsidP="00CF0A4C">
      <w:pPr>
        <w:pStyle w:val="Officelocationstyle"/>
      </w:pPr>
      <w:r w:rsidRPr="00FC4067">
        <w:t xml:space="preserve">Level 3, </w:t>
      </w:r>
      <w:r w:rsidR="0012520B" w:rsidRPr="00FC4067">
        <w:t>209 Bolsover Street</w:t>
      </w:r>
    </w:p>
    <w:p w14:paraId="1DD1155B" w14:textId="7AD8FCC3" w:rsidR="0012520B" w:rsidRPr="00FC4067" w:rsidRDefault="0012520B" w:rsidP="00CF0A4C">
      <w:pPr>
        <w:pStyle w:val="Officelocationstyle"/>
      </w:pPr>
      <w:r w:rsidRPr="00FC4067">
        <w:t xml:space="preserve">PO </w:t>
      </w:r>
      <w:r w:rsidR="00EF6068" w:rsidRPr="00FC4067">
        <w:t xml:space="preserve">Box </w:t>
      </w:r>
      <w:r w:rsidRPr="00FC4067">
        <w:t>1</w:t>
      </w:r>
      <w:r w:rsidR="00FF76AF" w:rsidRPr="00FC4067">
        <w:t>503</w:t>
      </w:r>
    </w:p>
    <w:p w14:paraId="792D1128" w14:textId="77777777" w:rsidR="0012520B" w:rsidRPr="00FC4067" w:rsidRDefault="0012520B" w:rsidP="00CF0A4C">
      <w:pPr>
        <w:pStyle w:val="Officelocationstyle"/>
      </w:pPr>
      <w:r w:rsidRPr="00FC4067">
        <w:t>Rockhampton Qld 4700</w:t>
      </w:r>
    </w:p>
    <w:p w14:paraId="5B2B830C" w14:textId="5D49DFDA" w:rsidR="00F57581" w:rsidRPr="00FC4067" w:rsidRDefault="0012520B" w:rsidP="00CF0A4C">
      <w:pPr>
        <w:pStyle w:val="Officelocationstyle"/>
      </w:pPr>
      <w:r w:rsidRPr="00FC4067">
        <w:t>Phone: 07 4848 7054</w:t>
      </w:r>
    </w:p>
    <w:p w14:paraId="31C796A9" w14:textId="3FF21CCA" w:rsidR="00FF76AF" w:rsidRPr="00FC4067" w:rsidRDefault="00FF76AF" w:rsidP="00CF0A4C">
      <w:pPr>
        <w:pStyle w:val="Officelocationstyle"/>
      </w:pPr>
      <w:r w:rsidRPr="00FC4067">
        <w:t xml:space="preserve">Email: </w:t>
      </w:r>
      <w:r w:rsidR="00CB6E8E" w:rsidRPr="00FC4067">
        <w:t>HHS-SD-CQNCR-ORD@hpw.qld.gov.au</w:t>
      </w:r>
    </w:p>
    <w:p w14:paraId="2F4F3EA0" w14:textId="77777777" w:rsidR="0012520B" w:rsidRPr="00FC4067" w:rsidRDefault="0012520B" w:rsidP="00CF0A4C">
      <w:pPr>
        <w:pStyle w:val="Officelocationsheadings"/>
      </w:pPr>
      <w:r w:rsidRPr="00FC4067">
        <w:t>Bundaberg Housing Service Centre</w:t>
      </w:r>
    </w:p>
    <w:p w14:paraId="0E223CBF" w14:textId="77777777" w:rsidR="0012520B" w:rsidRPr="00FC4067" w:rsidRDefault="0012520B" w:rsidP="00CF0A4C">
      <w:pPr>
        <w:pStyle w:val="Officelocationstyle"/>
      </w:pPr>
      <w:r w:rsidRPr="00FC4067">
        <w:t>16 Quay Street</w:t>
      </w:r>
    </w:p>
    <w:p w14:paraId="52811CD7" w14:textId="77777777" w:rsidR="0012520B" w:rsidRPr="00FC4067" w:rsidRDefault="0012520B" w:rsidP="00CF0A4C">
      <w:pPr>
        <w:pStyle w:val="Officelocationstyle"/>
      </w:pPr>
      <w:r w:rsidRPr="00FC4067">
        <w:lastRenderedPageBreak/>
        <w:t>PO Box 1120</w:t>
      </w:r>
    </w:p>
    <w:p w14:paraId="3E3C3973" w14:textId="7165D167" w:rsidR="0012520B" w:rsidRPr="00FC4067" w:rsidRDefault="0012520B" w:rsidP="00CF0A4C">
      <w:pPr>
        <w:pStyle w:val="Officelocationstyle"/>
      </w:pPr>
      <w:r w:rsidRPr="00FC4067">
        <w:t>B</w:t>
      </w:r>
      <w:r w:rsidR="00FB6FBA" w:rsidRPr="00FC4067">
        <w:t>undaberg Qld</w:t>
      </w:r>
      <w:r w:rsidRPr="00FC4067">
        <w:t xml:space="preserve"> 4670</w:t>
      </w:r>
    </w:p>
    <w:p w14:paraId="525A34A2" w14:textId="4ECCA18B" w:rsidR="00FB6FBA" w:rsidRPr="00FC4067" w:rsidRDefault="00FB6FBA" w:rsidP="00CF0A4C">
      <w:pPr>
        <w:pStyle w:val="Officelocationstyle"/>
      </w:pPr>
      <w:r w:rsidRPr="00FC4067">
        <w:t xml:space="preserve">Phone: </w:t>
      </w:r>
      <w:r w:rsidR="0012520B" w:rsidRPr="00FC4067">
        <w:t>07 4331 7900</w:t>
      </w:r>
    </w:p>
    <w:p w14:paraId="2774C659" w14:textId="1B5E3E25" w:rsidR="0012520B" w:rsidRPr="00FC4067" w:rsidRDefault="0012520B" w:rsidP="00CF0A4C">
      <w:pPr>
        <w:pStyle w:val="Officelocationstyle"/>
      </w:pPr>
      <w:r w:rsidRPr="00FC4067">
        <w:t>1800 809 835 (within area)</w:t>
      </w:r>
    </w:p>
    <w:p w14:paraId="58590997" w14:textId="77777777" w:rsidR="00FB6FBA" w:rsidRPr="00FC4067" w:rsidRDefault="0012520B" w:rsidP="00CF0A4C">
      <w:pPr>
        <w:pStyle w:val="Officelocationstyle"/>
      </w:pPr>
      <w:r w:rsidRPr="00FC4067">
        <w:t>Maintenance enquiries:</w:t>
      </w:r>
    </w:p>
    <w:p w14:paraId="45EA0871" w14:textId="0982D375" w:rsidR="0012520B" w:rsidRPr="00FC4067" w:rsidRDefault="0012520B" w:rsidP="00CF0A4C">
      <w:pPr>
        <w:pStyle w:val="Officelocationstyle"/>
      </w:pPr>
      <w:r w:rsidRPr="00FC4067">
        <w:t>1300 137 687</w:t>
      </w:r>
    </w:p>
    <w:p w14:paraId="05FCC522" w14:textId="7AF6E3F3" w:rsidR="0012520B" w:rsidRPr="00FC4067" w:rsidRDefault="0012520B" w:rsidP="00CF0A4C">
      <w:pPr>
        <w:pStyle w:val="Officelocationstyle"/>
        <w:rPr>
          <w:sz w:val="20"/>
          <w:szCs w:val="20"/>
        </w:rPr>
      </w:pPr>
      <w:r w:rsidRPr="00FC4067">
        <w:rPr>
          <w:sz w:val="20"/>
          <w:szCs w:val="20"/>
        </w:rPr>
        <w:t>Email:</w:t>
      </w:r>
      <w:hyperlink r:id="rId36">
        <w:r w:rsidRPr="00FC4067">
          <w:rPr>
            <w:rStyle w:val="Hyperlink"/>
            <w:sz w:val="20"/>
            <w:szCs w:val="20"/>
          </w:rPr>
          <w:t>bundaberghsc@hpw.qld.gov.au</w:t>
        </w:r>
      </w:hyperlink>
    </w:p>
    <w:p w14:paraId="4D2357A8" w14:textId="77777777" w:rsidR="0012520B" w:rsidRPr="00FC4067" w:rsidRDefault="0012520B" w:rsidP="00CF0A4C">
      <w:pPr>
        <w:pStyle w:val="Officelocationsheadings"/>
      </w:pPr>
      <w:r w:rsidRPr="00FC4067">
        <w:t>Emerald Housing Service Centre</w:t>
      </w:r>
    </w:p>
    <w:p w14:paraId="5FE6AB9C" w14:textId="77777777" w:rsidR="0012520B" w:rsidRPr="00FC4067" w:rsidRDefault="0012520B" w:rsidP="00CF0A4C">
      <w:pPr>
        <w:pStyle w:val="Officelocationstyle"/>
      </w:pPr>
      <w:r w:rsidRPr="00FC4067">
        <w:t>99 Hospital Road</w:t>
      </w:r>
    </w:p>
    <w:p w14:paraId="2F5268DF" w14:textId="77777777" w:rsidR="0012520B" w:rsidRPr="00FC4067" w:rsidRDefault="0012520B" w:rsidP="00CF0A4C">
      <w:pPr>
        <w:pStyle w:val="Officelocationstyle"/>
      </w:pPr>
      <w:r w:rsidRPr="00FC4067">
        <w:t>PO Box 37</w:t>
      </w:r>
    </w:p>
    <w:p w14:paraId="078E0DC1" w14:textId="6C93E72C" w:rsidR="0012520B" w:rsidRPr="00FC4067" w:rsidRDefault="00FB6FBA" w:rsidP="00CF0A4C">
      <w:pPr>
        <w:pStyle w:val="Officelocationstyle"/>
      </w:pPr>
      <w:r w:rsidRPr="00FC4067">
        <w:t>Emerald Qld</w:t>
      </w:r>
      <w:r w:rsidR="0012520B" w:rsidRPr="00FC4067">
        <w:t xml:space="preserve"> 4720</w:t>
      </w:r>
    </w:p>
    <w:p w14:paraId="6FB25750" w14:textId="2217B516" w:rsidR="0012520B" w:rsidRPr="00FC4067" w:rsidRDefault="00FB6FBA" w:rsidP="00CF0A4C">
      <w:pPr>
        <w:pStyle w:val="Officelocationstyle"/>
      </w:pPr>
      <w:r w:rsidRPr="00FC4067">
        <w:t xml:space="preserve">Phone: </w:t>
      </w:r>
      <w:r w:rsidR="0012520B" w:rsidRPr="00FC4067">
        <w:t>07 4988 1600</w:t>
      </w:r>
    </w:p>
    <w:p w14:paraId="26074481" w14:textId="028AD42E" w:rsidR="00913F2F" w:rsidRPr="00FC4067" w:rsidRDefault="0012520B" w:rsidP="00CF0A4C">
      <w:pPr>
        <w:pStyle w:val="Officelocationstyle"/>
      </w:pPr>
      <w:r w:rsidRPr="00FC4067">
        <w:t>Maintenance enquiries:</w:t>
      </w:r>
    </w:p>
    <w:p w14:paraId="27CC8CBA" w14:textId="22FA96C2" w:rsidR="0012520B" w:rsidRPr="00FC4067" w:rsidRDefault="0012520B" w:rsidP="00CF0A4C">
      <w:pPr>
        <w:pStyle w:val="Officelocationstyle"/>
      </w:pPr>
      <w:r w:rsidRPr="00FC4067">
        <w:t>1800 823 090</w:t>
      </w:r>
    </w:p>
    <w:p w14:paraId="6D3F8E5D" w14:textId="77777777" w:rsidR="0012520B" w:rsidRPr="00FC4067" w:rsidRDefault="0012520B" w:rsidP="00CF0A4C">
      <w:pPr>
        <w:pStyle w:val="Officelocationstyle"/>
        <w:rPr>
          <w:sz w:val="20"/>
          <w:szCs w:val="20"/>
        </w:rPr>
      </w:pPr>
      <w:r w:rsidRPr="00FC4067">
        <w:rPr>
          <w:sz w:val="20"/>
          <w:szCs w:val="20"/>
        </w:rPr>
        <w:t xml:space="preserve">Email : </w:t>
      </w:r>
      <w:hyperlink r:id="rId37">
        <w:r w:rsidRPr="00FC4067">
          <w:rPr>
            <w:rStyle w:val="Hyperlink"/>
            <w:sz w:val="20"/>
            <w:szCs w:val="20"/>
          </w:rPr>
          <w:t>emeraldhsc@hpw.qld.gov.au</w:t>
        </w:r>
      </w:hyperlink>
    </w:p>
    <w:p w14:paraId="168B7F99" w14:textId="77777777" w:rsidR="0012520B" w:rsidRPr="00FC4067" w:rsidRDefault="0012520B" w:rsidP="00CF0A4C">
      <w:pPr>
        <w:pStyle w:val="Officelocationsheadings"/>
      </w:pPr>
      <w:r w:rsidRPr="00FC4067">
        <w:t>Gladstone Housing Service Centre</w:t>
      </w:r>
    </w:p>
    <w:p w14:paraId="00AABB98" w14:textId="77777777" w:rsidR="0012520B" w:rsidRPr="00FC4067" w:rsidRDefault="0012520B" w:rsidP="00CF0A4C">
      <w:pPr>
        <w:pStyle w:val="Officelocationstyle"/>
      </w:pPr>
      <w:r w:rsidRPr="00FC4067">
        <w:t>Level 2, 20-22 Herbert Street</w:t>
      </w:r>
    </w:p>
    <w:p w14:paraId="30EB73BC" w14:textId="77777777" w:rsidR="0012520B" w:rsidRPr="00FC4067" w:rsidRDefault="0012520B" w:rsidP="00CF0A4C">
      <w:pPr>
        <w:pStyle w:val="Officelocationstyle"/>
      </w:pPr>
      <w:r w:rsidRPr="00FC4067">
        <w:t>PO Box 5082</w:t>
      </w:r>
    </w:p>
    <w:p w14:paraId="53C3D202" w14:textId="0276487E" w:rsidR="0012520B" w:rsidRPr="00FC4067" w:rsidRDefault="0012520B" w:rsidP="00CF0A4C">
      <w:pPr>
        <w:pStyle w:val="Officelocationstyle"/>
      </w:pPr>
      <w:r w:rsidRPr="00FC4067">
        <w:t>G</w:t>
      </w:r>
      <w:r w:rsidR="00591EA6" w:rsidRPr="00FC4067">
        <w:t>ladstone Qld</w:t>
      </w:r>
      <w:r w:rsidRPr="00FC4067">
        <w:t xml:space="preserve"> 4680</w:t>
      </w:r>
    </w:p>
    <w:p w14:paraId="607198D6" w14:textId="1EFD8A24" w:rsidR="00591EA6" w:rsidRPr="00FC4067" w:rsidRDefault="00591EA6" w:rsidP="00CF0A4C">
      <w:pPr>
        <w:pStyle w:val="Officelocationstyle"/>
      </w:pPr>
      <w:r w:rsidRPr="00FC4067">
        <w:t xml:space="preserve">Phone: </w:t>
      </w:r>
      <w:r w:rsidR="0012520B" w:rsidRPr="00FC4067">
        <w:t>07 4899 2400</w:t>
      </w:r>
    </w:p>
    <w:p w14:paraId="6B8CFEE9" w14:textId="5BB85510" w:rsidR="00591EA6" w:rsidRPr="00FC4067" w:rsidRDefault="0012520B" w:rsidP="00CF0A4C">
      <w:pPr>
        <w:pStyle w:val="Officelocationstyle"/>
      </w:pPr>
      <w:r w:rsidRPr="00FC4067">
        <w:t>Maintenance enquiries:</w:t>
      </w:r>
    </w:p>
    <w:p w14:paraId="3B39395D" w14:textId="77777777" w:rsidR="00424F28" w:rsidRDefault="00986BB3" w:rsidP="00CF0A4C">
      <w:pPr>
        <w:pStyle w:val="Officelocationstyle"/>
      </w:pPr>
      <w:r w:rsidRPr="00FC4067">
        <w:t xml:space="preserve">07 </w:t>
      </w:r>
      <w:r w:rsidR="00CF0688" w:rsidRPr="00FC4067">
        <w:t>4977 7104</w:t>
      </w:r>
      <w:r w:rsidR="007706D3" w:rsidRPr="00FC4067">
        <w:t xml:space="preserve"> </w:t>
      </w:r>
    </w:p>
    <w:p w14:paraId="66BA936E" w14:textId="504EA8F7" w:rsidR="0012520B" w:rsidRPr="00FC4067" w:rsidRDefault="00424F28" w:rsidP="00CF0A4C">
      <w:pPr>
        <w:pStyle w:val="Officelocationstyle"/>
      </w:pPr>
      <w:r w:rsidRPr="00FC4067">
        <w:t>8</w:t>
      </w:r>
      <w:r>
        <w:t>.00</w:t>
      </w:r>
      <w:r w:rsidRPr="00FC4067">
        <w:t>am-5</w:t>
      </w:r>
      <w:r>
        <w:t xml:space="preserve">.00 </w:t>
      </w:r>
      <w:r w:rsidRPr="00FC4067">
        <w:t>pm</w:t>
      </w:r>
      <w:r>
        <w:t xml:space="preserve"> Monday - Friday</w:t>
      </w:r>
    </w:p>
    <w:p w14:paraId="1EB6E09E" w14:textId="6C2AB8F1" w:rsidR="0012520B" w:rsidRPr="00FC4067" w:rsidRDefault="0012520B" w:rsidP="00CF0A4C">
      <w:pPr>
        <w:pStyle w:val="Officelocationstyle"/>
        <w:rPr>
          <w:sz w:val="20"/>
          <w:szCs w:val="20"/>
        </w:rPr>
      </w:pPr>
      <w:r w:rsidRPr="00FC4067">
        <w:rPr>
          <w:sz w:val="20"/>
          <w:szCs w:val="20"/>
        </w:rPr>
        <w:t>Email:</w:t>
      </w:r>
      <w:hyperlink r:id="rId38">
        <w:r w:rsidRPr="00FC4067">
          <w:rPr>
            <w:rStyle w:val="Hyperlink"/>
            <w:sz w:val="20"/>
            <w:szCs w:val="20"/>
          </w:rPr>
          <w:t>gladstonehsc@hpw.qld.gov.au</w:t>
        </w:r>
      </w:hyperlink>
    </w:p>
    <w:p w14:paraId="221EDA92" w14:textId="77777777" w:rsidR="0012520B" w:rsidRPr="00FC4067" w:rsidRDefault="0012520B" w:rsidP="00CF0A4C">
      <w:pPr>
        <w:pStyle w:val="Officelocationsheadings"/>
      </w:pPr>
      <w:r w:rsidRPr="00FC4067">
        <w:t xml:space="preserve">Maroochydore Housing Service Centre </w:t>
      </w:r>
    </w:p>
    <w:p w14:paraId="14B3D488" w14:textId="77777777" w:rsidR="0012520B" w:rsidRPr="00FC4067" w:rsidRDefault="0012520B" w:rsidP="00CF0A4C">
      <w:pPr>
        <w:pStyle w:val="Officelocationstyle"/>
      </w:pPr>
      <w:r w:rsidRPr="00FC4067">
        <w:t>Queensland Government Service Centre Ground floor, 12 First Avenue</w:t>
      </w:r>
    </w:p>
    <w:p w14:paraId="51ED0F71" w14:textId="77777777" w:rsidR="0012520B" w:rsidRPr="00FC4067" w:rsidRDefault="0012520B" w:rsidP="00CF0A4C">
      <w:pPr>
        <w:pStyle w:val="Officelocationstyle"/>
      </w:pPr>
      <w:r w:rsidRPr="00FC4067">
        <w:t>PO Box 99</w:t>
      </w:r>
    </w:p>
    <w:p w14:paraId="0E763812" w14:textId="3E05F42E" w:rsidR="0012520B" w:rsidRPr="00FC4067" w:rsidRDefault="0012520B" w:rsidP="00CF0A4C">
      <w:pPr>
        <w:pStyle w:val="Officelocationstyle"/>
      </w:pPr>
      <w:r w:rsidRPr="00FC4067">
        <w:t>M</w:t>
      </w:r>
      <w:r w:rsidR="00A547B1" w:rsidRPr="00FC4067">
        <w:t>aroochydore Qld</w:t>
      </w:r>
      <w:r w:rsidRPr="00FC4067">
        <w:t xml:space="preserve"> 4558</w:t>
      </w:r>
    </w:p>
    <w:p w14:paraId="6851D218" w14:textId="03300E73" w:rsidR="0012520B" w:rsidRPr="00FC4067" w:rsidRDefault="006174A0" w:rsidP="00CF0A4C">
      <w:pPr>
        <w:pStyle w:val="Officelocationstyle"/>
      </w:pPr>
      <w:r w:rsidRPr="00FC4067">
        <w:t xml:space="preserve">Phone: </w:t>
      </w:r>
      <w:r w:rsidR="0012520B" w:rsidRPr="00FC4067">
        <w:t>07 5352 7333</w:t>
      </w:r>
    </w:p>
    <w:p w14:paraId="2FF90CB4" w14:textId="77777777" w:rsidR="00591EA6" w:rsidRPr="00FC4067" w:rsidRDefault="0012520B" w:rsidP="00CF0A4C">
      <w:pPr>
        <w:pStyle w:val="Officelocationstyle"/>
      </w:pPr>
      <w:r w:rsidRPr="00FC4067">
        <w:t>Maintenance enquiries:</w:t>
      </w:r>
    </w:p>
    <w:p w14:paraId="25F5CE78" w14:textId="65A70FE4" w:rsidR="0012520B" w:rsidRPr="00FC4067" w:rsidRDefault="0012520B" w:rsidP="00CF0A4C">
      <w:pPr>
        <w:pStyle w:val="Officelocationstyle"/>
      </w:pPr>
      <w:r w:rsidRPr="00FC4067">
        <w:t xml:space="preserve">1300 650 916 </w:t>
      </w:r>
    </w:p>
    <w:p w14:paraId="7D690804" w14:textId="06E512F7" w:rsidR="0012520B" w:rsidRPr="00FC4067" w:rsidRDefault="0012520B" w:rsidP="00CF0A4C">
      <w:pPr>
        <w:pStyle w:val="Officelocationstyle"/>
      </w:pPr>
      <w:r w:rsidRPr="00FC4067">
        <w:t>Coolum</w:t>
      </w:r>
      <w:r w:rsidR="006174A0" w:rsidRPr="00FC4067">
        <w:t xml:space="preserve"> </w:t>
      </w:r>
      <w:r w:rsidRPr="00FC4067">
        <w:t xml:space="preserve">Beach and South. 1300 137 687 </w:t>
      </w:r>
    </w:p>
    <w:p w14:paraId="416582DB" w14:textId="77777777" w:rsidR="0012520B" w:rsidRPr="00FC4067" w:rsidRDefault="0012520B" w:rsidP="00CF0A4C">
      <w:pPr>
        <w:pStyle w:val="Officelocationstyle"/>
      </w:pPr>
      <w:r w:rsidRPr="00FC4067">
        <w:t>Peregian Beach and north</w:t>
      </w:r>
    </w:p>
    <w:p w14:paraId="139EDA85" w14:textId="44D34F45" w:rsidR="0012520B" w:rsidRPr="00FC4067" w:rsidRDefault="0012520B" w:rsidP="00CF0A4C">
      <w:pPr>
        <w:pStyle w:val="Officelocationstyle"/>
      </w:pPr>
      <w:r w:rsidRPr="00FC4067">
        <w:rPr>
          <w:sz w:val="20"/>
          <w:szCs w:val="20"/>
        </w:rPr>
        <w:t xml:space="preserve">Email: </w:t>
      </w:r>
      <w:hyperlink r:id="rId39">
        <w:r w:rsidRPr="00FC4067">
          <w:rPr>
            <w:rStyle w:val="Hyperlink"/>
            <w:sz w:val="20"/>
            <w:szCs w:val="20"/>
          </w:rPr>
          <w:t>maroochydorehsc@hpw.qld.gov.au</w:t>
        </w:r>
      </w:hyperlink>
    </w:p>
    <w:p w14:paraId="4AF7712A" w14:textId="77777777" w:rsidR="0012520B" w:rsidRPr="00FC4067" w:rsidRDefault="0012520B" w:rsidP="00CF0A4C">
      <w:pPr>
        <w:pStyle w:val="Officelocationsheadings"/>
      </w:pPr>
      <w:r w:rsidRPr="00FC4067">
        <w:t>Maryborough Housing Service Centre</w:t>
      </w:r>
    </w:p>
    <w:p w14:paraId="11BD46B5" w14:textId="77777777" w:rsidR="0012520B" w:rsidRPr="00FC4067" w:rsidRDefault="0012520B" w:rsidP="00CF0A4C">
      <w:pPr>
        <w:pStyle w:val="Officelocationstyle"/>
      </w:pPr>
      <w:r w:rsidRPr="00FC4067">
        <w:t>116 Lennox Street</w:t>
      </w:r>
    </w:p>
    <w:p w14:paraId="254E3731" w14:textId="77777777" w:rsidR="0012520B" w:rsidRPr="00FC4067" w:rsidRDefault="0012520B" w:rsidP="00CF0A4C">
      <w:pPr>
        <w:pStyle w:val="Officelocationstyle"/>
      </w:pPr>
      <w:r w:rsidRPr="00FC4067">
        <w:t>PO Box 535</w:t>
      </w:r>
    </w:p>
    <w:p w14:paraId="44A8176F" w14:textId="1D153299" w:rsidR="0012520B" w:rsidRPr="00FC4067" w:rsidRDefault="0012520B" w:rsidP="00CF0A4C">
      <w:pPr>
        <w:pStyle w:val="Officelocationstyle"/>
      </w:pPr>
      <w:r w:rsidRPr="00FC4067">
        <w:t>M</w:t>
      </w:r>
      <w:r w:rsidR="00E9508B" w:rsidRPr="00FC4067">
        <w:t>aryborough Qld</w:t>
      </w:r>
      <w:r w:rsidRPr="00FC4067">
        <w:t xml:space="preserve"> 4650</w:t>
      </w:r>
    </w:p>
    <w:p w14:paraId="7F97E5D8" w14:textId="0C9137D0" w:rsidR="0012520B" w:rsidRPr="00FC4067" w:rsidRDefault="00E9508B" w:rsidP="00CF0A4C">
      <w:pPr>
        <w:pStyle w:val="Officelocationstyle"/>
      </w:pPr>
      <w:r w:rsidRPr="00FC4067">
        <w:t xml:space="preserve">Phone: </w:t>
      </w:r>
      <w:r w:rsidR="0012520B" w:rsidRPr="00FC4067">
        <w:t>07 4324 8600</w:t>
      </w:r>
    </w:p>
    <w:p w14:paraId="01599E96" w14:textId="77777777" w:rsidR="0012520B" w:rsidRPr="00FC4067" w:rsidRDefault="0012520B" w:rsidP="00CF0A4C">
      <w:pPr>
        <w:pStyle w:val="Officelocationstyle"/>
      </w:pPr>
      <w:r w:rsidRPr="00FC4067">
        <w:t>1800 623 242 (within area)</w:t>
      </w:r>
    </w:p>
    <w:p w14:paraId="57DC1373" w14:textId="77777777" w:rsidR="005B506E" w:rsidRPr="00FC4067" w:rsidRDefault="0012520B" w:rsidP="00CF0A4C">
      <w:pPr>
        <w:pStyle w:val="Officelocationstyle"/>
      </w:pPr>
      <w:r w:rsidRPr="00FC4067">
        <w:t>Maintenance enquiries:</w:t>
      </w:r>
    </w:p>
    <w:p w14:paraId="4F7DD125" w14:textId="3A16D219" w:rsidR="005B506E" w:rsidRPr="00FC4067" w:rsidRDefault="0012520B" w:rsidP="00CF0A4C">
      <w:pPr>
        <w:pStyle w:val="Officelocationstyle"/>
      </w:pPr>
      <w:r w:rsidRPr="00FC4067">
        <w:t xml:space="preserve">1300 137 687 </w:t>
      </w:r>
    </w:p>
    <w:p w14:paraId="66259191" w14:textId="07FEA7F3" w:rsidR="0012520B" w:rsidRPr="00FC4067" w:rsidRDefault="0012520B" w:rsidP="00CF0A4C">
      <w:pPr>
        <w:pStyle w:val="Officelocationstyle"/>
        <w:rPr>
          <w:sz w:val="20"/>
          <w:szCs w:val="20"/>
        </w:rPr>
      </w:pPr>
      <w:r w:rsidRPr="00FC4067">
        <w:rPr>
          <w:sz w:val="20"/>
          <w:szCs w:val="20"/>
        </w:rPr>
        <w:t xml:space="preserve">Email: </w:t>
      </w:r>
      <w:hyperlink r:id="rId40">
        <w:r w:rsidRPr="00FC4067">
          <w:rPr>
            <w:rStyle w:val="Hyperlink"/>
            <w:sz w:val="20"/>
            <w:szCs w:val="20"/>
          </w:rPr>
          <w:t>maryboroughhsc@hpw.qld.gov.au</w:t>
        </w:r>
      </w:hyperlink>
    </w:p>
    <w:p w14:paraId="4A4E66E8" w14:textId="77777777" w:rsidR="0012520B" w:rsidRPr="00FC4067" w:rsidRDefault="0012520B" w:rsidP="00CF0A4C">
      <w:pPr>
        <w:pStyle w:val="Officelocationstyle"/>
      </w:pPr>
    </w:p>
    <w:p w14:paraId="5CFD5A2A" w14:textId="77777777" w:rsidR="0012520B" w:rsidRPr="00FC4067" w:rsidRDefault="0012520B" w:rsidP="00CF0A4C">
      <w:pPr>
        <w:pStyle w:val="Officelocationstyle"/>
      </w:pPr>
      <w:r w:rsidRPr="00FC4067">
        <w:rPr>
          <w:rStyle w:val="OfficelocationsheadingsChar"/>
        </w:rPr>
        <w:t>Moreton Bay Housing Service Centre</w:t>
      </w:r>
      <w:r w:rsidRPr="00FC4067">
        <w:t xml:space="preserve"> </w:t>
      </w:r>
    </w:p>
    <w:p w14:paraId="4C2D7F00" w14:textId="77777777" w:rsidR="00900D8A" w:rsidRPr="00FC4067" w:rsidRDefault="0012520B" w:rsidP="00CF0A4C">
      <w:pPr>
        <w:pStyle w:val="Officelocationstyle"/>
      </w:pPr>
      <w:r w:rsidRPr="00FC4067">
        <w:t>Level 5, Caboolture Square Shopping Centre</w:t>
      </w:r>
    </w:p>
    <w:p w14:paraId="3CCEA18E" w14:textId="1886D104" w:rsidR="0012520B" w:rsidRPr="00FC4067" w:rsidRDefault="0012520B" w:rsidP="00CF0A4C">
      <w:pPr>
        <w:pStyle w:val="Officelocationstyle"/>
      </w:pPr>
      <w:r w:rsidRPr="00FC4067">
        <w:t>60-78 King Street</w:t>
      </w:r>
    </w:p>
    <w:p w14:paraId="5E18A52B" w14:textId="77777777" w:rsidR="0012520B" w:rsidRPr="00FC4067" w:rsidRDefault="0012520B" w:rsidP="00CF0A4C">
      <w:pPr>
        <w:pStyle w:val="Officelocationstyle"/>
      </w:pPr>
      <w:r w:rsidRPr="00FC4067">
        <w:t>PO Box 588</w:t>
      </w:r>
    </w:p>
    <w:p w14:paraId="728541A1" w14:textId="070D4852" w:rsidR="0012520B" w:rsidRPr="00FC4067" w:rsidRDefault="0012520B" w:rsidP="00CF0A4C">
      <w:pPr>
        <w:pStyle w:val="Officelocationstyle"/>
      </w:pPr>
      <w:r w:rsidRPr="00FC4067">
        <w:t>C</w:t>
      </w:r>
      <w:r w:rsidR="005B506E" w:rsidRPr="00FC4067">
        <w:t>aboolture Qld</w:t>
      </w:r>
      <w:r w:rsidRPr="00FC4067">
        <w:t xml:space="preserve"> 4510</w:t>
      </w:r>
    </w:p>
    <w:p w14:paraId="7D33A39D" w14:textId="365D29C0" w:rsidR="0012520B" w:rsidRPr="00FC4067" w:rsidRDefault="005B506E" w:rsidP="00CF0A4C">
      <w:pPr>
        <w:pStyle w:val="Officelocationstyle"/>
      </w:pPr>
      <w:r w:rsidRPr="00FC4067">
        <w:t xml:space="preserve">Phone: </w:t>
      </w:r>
      <w:r w:rsidR="0012520B" w:rsidRPr="00FC4067">
        <w:t>07 5432 0700</w:t>
      </w:r>
    </w:p>
    <w:p w14:paraId="645416D6" w14:textId="7DE4518F" w:rsidR="0012520B" w:rsidRPr="00FC4067" w:rsidRDefault="0012520B" w:rsidP="00CF0A4C">
      <w:pPr>
        <w:pStyle w:val="Officelocationstyle"/>
        <w:rPr>
          <w:sz w:val="20"/>
          <w:szCs w:val="20"/>
        </w:rPr>
      </w:pPr>
      <w:r w:rsidRPr="00FC4067">
        <w:rPr>
          <w:sz w:val="20"/>
          <w:szCs w:val="20"/>
        </w:rPr>
        <w:t>Email:</w:t>
      </w:r>
      <w:hyperlink r:id="rId41">
        <w:r w:rsidRPr="00FC4067">
          <w:rPr>
            <w:rStyle w:val="Hyperlink"/>
            <w:sz w:val="20"/>
            <w:szCs w:val="20"/>
          </w:rPr>
          <w:t>moretonbayhsc@hpw.qld.gov.au</w:t>
        </w:r>
      </w:hyperlink>
    </w:p>
    <w:p w14:paraId="6A4922E9" w14:textId="77777777" w:rsidR="0012520B" w:rsidRPr="00FC4067" w:rsidRDefault="0012520B" w:rsidP="00CF0A4C">
      <w:pPr>
        <w:pStyle w:val="Officelocationsheadings"/>
      </w:pPr>
      <w:r w:rsidRPr="00FC4067">
        <w:t>Rockhampton Housing Service Centre</w:t>
      </w:r>
    </w:p>
    <w:p w14:paraId="12CD2F32" w14:textId="77777777" w:rsidR="0012520B" w:rsidRPr="00FC4067" w:rsidRDefault="0012520B" w:rsidP="00CF0A4C">
      <w:pPr>
        <w:pStyle w:val="Officelocationstyle"/>
      </w:pPr>
      <w:r w:rsidRPr="00FC4067">
        <w:lastRenderedPageBreak/>
        <w:t>Level 3, 209 Bolsover Street</w:t>
      </w:r>
    </w:p>
    <w:p w14:paraId="64984FE1" w14:textId="77777777" w:rsidR="0012520B" w:rsidRPr="00FC4067" w:rsidRDefault="0012520B" w:rsidP="00CF0A4C">
      <w:pPr>
        <w:pStyle w:val="Officelocationstyle"/>
      </w:pPr>
      <w:r w:rsidRPr="00FC4067">
        <w:t>PO Box 1330</w:t>
      </w:r>
    </w:p>
    <w:p w14:paraId="423D45DA" w14:textId="3B19E7E4" w:rsidR="0012520B" w:rsidRPr="00FC4067" w:rsidRDefault="00297B99" w:rsidP="00CF0A4C">
      <w:pPr>
        <w:pStyle w:val="Officelocationstyle"/>
      </w:pPr>
      <w:r w:rsidRPr="00FC4067">
        <w:t>Rockhampton Qld</w:t>
      </w:r>
      <w:r w:rsidR="0012520B" w:rsidRPr="00FC4067">
        <w:t xml:space="preserve"> 4700</w:t>
      </w:r>
    </w:p>
    <w:p w14:paraId="43AD913D" w14:textId="53CB9AC7" w:rsidR="0012520B" w:rsidRPr="00FC4067" w:rsidRDefault="00297B99" w:rsidP="00CF0A4C">
      <w:pPr>
        <w:pStyle w:val="Officelocationstyle"/>
      </w:pPr>
      <w:r w:rsidRPr="00FC4067">
        <w:t xml:space="preserve">Phone: </w:t>
      </w:r>
      <w:r w:rsidR="0012520B" w:rsidRPr="00FC4067">
        <w:t>07 4848 7000</w:t>
      </w:r>
    </w:p>
    <w:p w14:paraId="74A9B137" w14:textId="77777777" w:rsidR="0012520B" w:rsidRPr="00FC4067" w:rsidRDefault="0012520B" w:rsidP="00CF0A4C">
      <w:pPr>
        <w:pStyle w:val="Officelocationstyle"/>
      </w:pPr>
      <w:r w:rsidRPr="00FC4067">
        <w:t>1800 801 176 (within area)</w:t>
      </w:r>
    </w:p>
    <w:p w14:paraId="43D55923" w14:textId="44FDA7B9" w:rsidR="00591EA6" w:rsidRPr="00FC4067" w:rsidRDefault="0012520B" w:rsidP="00CF0A4C">
      <w:pPr>
        <w:pStyle w:val="Officelocationstyle"/>
      </w:pPr>
      <w:r w:rsidRPr="00FC4067">
        <w:t>Maintenance enquiries:</w:t>
      </w:r>
    </w:p>
    <w:p w14:paraId="00A253D4" w14:textId="77777777" w:rsidR="00591EA6" w:rsidRPr="00FC4067" w:rsidRDefault="0012520B" w:rsidP="00CF0A4C">
      <w:pPr>
        <w:pStyle w:val="Officelocationstyle"/>
      </w:pPr>
      <w:r w:rsidRPr="00FC4067">
        <w:t>1800 817 029</w:t>
      </w:r>
    </w:p>
    <w:p w14:paraId="2D0085F0" w14:textId="0747C194" w:rsidR="0012520B" w:rsidRPr="00FC4067" w:rsidRDefault="0012520B" w:rsidP="00CF0A4C">
      <w:pPr>
        <w:pStyle w:val="Officelocationstyle"/>
        <w:rPr>
          <w:sz w:val="20"/>
          <w:szCs w:val="20"/>
        </w:rPr>
      </w:pPr>
      <w:r w:rsidRPr="00FC4067">
        <w:rPr>
          <w:sz w:val="20"/>
          <w:szCs w:val="20"/>
        </w:rPr>
        <w:t>Email:</w:t>
      </w:r>
      <w:hyperlink r:id="rId42">
        <w:r w:rsidRPr="00FC4067">
          <w:rPr>
            <w:rStyle w:val="Hyperlink"/>
            <w:sz w:val="20"/>
            <w:szCs w:val="20"/>
          </w:rPr>
          <w:t>rockhamptonhsc@hpw.qld.gov.au</w:t>
        </w:r>
      </w:hyperlink>
    </w:p>
    <w:p w14:paraId="3B68813F" w14:textId="52B9342E" w:rsidR="00FD5FA1" w:rsidRPr="00FC4067" w:rsidRDefault="00FD5FA1" w:rsidP="00CF0A4C">
      <w:pPr>
        <w:pStyle w:val="Officelocationsheadings"/>
      </w:pPr>
      <w:r w:rsidRPr="00FC4067">
        <w:t>Woorabinda</w:t>
      </w:r>
    </w:p>
    <w:p w14:paraId="75C6CD50" w14:textId="77777777" w:rsidR="00A2295E" w:rsidRPr="00FC4067" w:rsidRDefault="00FD5FA1" w:rsidP="00CF0A4C">
      <w:pPr>
        <w:pStyle w:val="Officelocationstyle"/>
      </w:pPr>
      <w:r w:rsidRPr="00FC4067">
        <w:t>201 Carbine Street</w:t>
      </w:r>
    </w:p>
    <w:p w14:paraId="4C03A231" w14:textId="51611A5A" w:rsidR="00FD5FA1" w:rsidRPr="00FC4067" w:rsidRDefault="00FD5FA1" w:rsidP="00CF0A4C">
      <w:pPr>
        <w:pStyle w:val="Officelocationstyle"/>
      </w:pPr>
      <w:r w:rsidRPr="00FC4067">
        <w:t>Woorabinda</w:t>
      </w:r>
      <w:r w:rsidR="00A2295E" w:rsidRPr="00FC4067">
        <w:t xml:space="preserve"> </w:t>
      </w:r>
      <w:r w:rsidRPr="00FC4067">
        <w:t>Q</w:t>
      </w:r>
      <w:r w:rsidR="00A2295E" w:rsidRPr="00FC4067">
        <w:t>ld</w:t>
      </w:r>
      <w:r w:rsidRPr="00FC4067">
        <w:t xml:space="preserve"> 4713</w:t>
      </w:r>
    </w:p>
    <w:p w14:paraId="427208F1" w14:textId="58B4F821" w:rsidR="00FD5FA1" w:rsidRPr="00FC4067" w:rsidRDefault="00941071" w:rsidP="00CF0A4C">
      <w:pPr>
        <w:pStyle w:val="Officelocationstyle"/>
      </w:pPr>
      <w:r w:rsidRPr="00FC4067">
        <w:t xml:space="preserve">Phone: </w:t>
      </w:r>
      <w:r w:rsidR="00FD5FA1" w:rsidRPr="00FC4067">
        <w:t>07 4925 9019</w:t>
      </w:r>
    </w:p>
    <w:p w14:paraId="2BCDE8E8" w14:textId="5F69BCE0" w:rsidR="00FD5FA1" w:rsidRPr="00FC4067" w:rsidRDefault="00FD5FA1" w:rsidP="00CF0A4C">
      <w:pPr>
        <w:pStyle w:val="Officelocationstyle"/>
      </w:pPr>
      <w:r w:rsidRPr="00FC4067">
        <w:t>Fax: 07</w:t>
      </w:r>
      <w:r w:rsidR="00941071" w:rsidRPr="00FC4067">
        <w:t xml:space="preserve"> </w:t>
      </w:r>
      <w:r w:rsidRPr="00FC4067">
        <w:t>4925 9001</w:t>
      </w:r>
    </w:p>
    <w:p w14:paraId="156CE094" w14:textId="77777777" w:rsidR="00FD5FA1" w:rsidRPr="00FC4067" w:rsidRDefault="00FD5FA1" w:rsidP="00CF0A4C">
      <w:pPr>
        <w:pStyle w:val="Officelocationstyle"/>
      </w:pPr>
      <w:r w:rsidRPr="00FC4067">
        <w:t>Email:</w:t>
      </w:r>
    </w:p>
    <w:p w14:paraId="75CC5868" w14:textId="0CF04E82" w:rsidR="00FD5FA1" w:rsidRPr="00912E38" w:rsidRDefault="00455FE3" w:rsidP="00CF0A4C">
      <w:pPr>
        <w:pStyle w:val="Officelocationstyle"/>
      </w:pPr>
      <w:hyperlink r:id="rId43">
        <w:r w:rsidR="00FD5FA1" w:rsidRPr="00912E38">
          <w:t>HHSWoorabindaIndigenousCommunity@hpw.qld.gov.au</w:t>
        </w:r>
      </w:hyperlink>
    </w:p>
    <w:p w14:paraId="46391881" w14:textId="605CF90F" w:rsidR="008E728C" w:rsidRPr="00FC4067" w:rsidRDefault="00DD0E73" w:rsidP="00792F33">
      <w:pPr>
        <w:pStyle w:val="Heading3"/>
      </w:pPr>
      <w:r w:rsidRPr="00FC4067">
        <w:t>Brisbane Region</w:t>
      </w:r>
    </w:p>
    <w:p w14:paraId="176DF564" w14:textId="77777777" w:rsidR="008E728C" w:rsidRPr="00FC4067" w:rsidRDefault="008E728C" w:rsidP="00CF0A4C">
      <w:pPr>
        <w:pStyle w:val="Officelocationsheadings"/>
      </w:pPr>
      <w:r w:rsidRPr="00FC4067">
        <w:t>Office of the Regional Director, Brisbane Region</w:t>
      </w:r>
    </w:p>
    <w:p w14:paraId="706BBFB6" w14:textId="77777777" w:rsidR="008E728C" w:rsidRPr="00FC4067" w:rsidRDefault="008E728C" w:rsidP="00CF0A4C">
      <w:pPr>
        <w:pStyle w:val="Officelocationstyle"/>
      </w:pPr>
      <w:r w:rsidRPr="00FC4067">
        <w:t>831 Gympie Road</w:t>
      </w:r>
    </w:p>
    <w:p w14:paraId="70A6A6C5" w14:textId="77777777" w:rsidR="008E728C" w:rsidRPr="00FC4067" w:rsidRDefault="008E728C" w:rsidP="00CF0A4C">
      <w:pPr>
        <w:pStyle w:val="Officelocationstyle"/>
      </w:pPr>
      <w:r w:rsidRPr="00FC4067">
        <w:t>PO Box 2361</w:t>
      </w:r>
    </w:p>
    <w:p w14:paraId="4458C4EF" w14:textId="77777777" w:rsidR="008E728C" w:rsidRPr="00FC4067" w:rsidRDefault="008E728C" w:rsidP="00CF0A4C">
      <w:pPr>
        <w:pStyle w:val="Officelocationstyle"/>
      </w:pPr>
      <w:r w:rsidRPr="00FC4067">
        <w:t>Chermside Centre</w:t>
      </w:r>
    </w:p>
    <w:p w14:paraId="1C87D7EC" w14:textId="77777777" w:rsidR="008E728C" w:rsidRPr="00FC4067" w:rsidRDefault="008E728C" w:rsidP="00CF0A4C">
      <w:pPr>
        <w:pStyle w:val="Officelocationstyle"/>
      </w:pPr>
      <w:r w:rsidRPr="00FC4067">
        <w:t>Chermside Qld 4032</w:t>
      </w:r>
    </w:p>
    <w:p w14:paraId="5031E3AD" w14:textId="10C2E3D1" w:rsidR="00C5295A" w:rsidRPr="00FC4067" w:rsidRDefault="008E728C" w:rsidP="00FC4067">
      <w:pPr>
        <w:pStyle w:val="Officelocationstyle"/>
      </w:pPr>
      <w:r w:rsidRPr="00FC4067">
        <w:t>Phone: 07 3007 43</w:t>
      </w:r>
      <w:r w:rsidR="00C473AB" w:rsidRPr="00FC4067">
        <w:t>86</w:t>
      </w:r>
    </w:p>
    <w:p w14:paraId="601332AB" w14:textId="55816CD7" w:rsidR="008E728C" w:rsidRPr="00FC4067" w:rsidRDefault="008E728C" w:rsidP="00CF0A4C">
      <w:pPr>
        <w:pStyle w:val="Officelocationsheadings"/>
      </w:pPr>
      <w:r w:rsidRPr="00FC4067">
        <w:t>Buranda Housing Service Centre</w:t>
      </w:r>
    </w:p>
    <w:p w14:paraId="5B8BC647" w14:textId="77777777" w:rsidR="008E728C" w:rsidRPr="00FC4067" w:rsidRDefault="008E728C" w:rsidP="00CF0A4C">
      <w:pPr>
        <w:pStyle w:val="Officelocationstyle"/>
      </w:pPr>
      <w:r w:rsidRPr="00FC4067">
        <w:t>Level 1, 221 Logan Road, Buranda</w:t>
      </w:r>
    </w:p>
    <w:p w14:paraId="1C426ACF" w14:textId="77777777" w:rsidR="008E728C" w:rsidRPr="00FC4067" w:rsidRDefault="008E728C" w:rsidP="00CF0A4C">
      <w:pPr>
        <w:pStyle w:val="Officelocationstyle"/>
      </w:pPr>
      <w:r w:rsidRPr="00FC4067">
        <w:t>PO Box 230</w:t>
      </w:r>
    </w:p>
    <w:p w14:paraId="3B0858F2" w14:textId="77777777" w:rsidR="008E728C" w:rsidRPr="00FC4067" w:rsidRDefault="008E728C" w:rsidP="00CF0A4C">
      <w:pPr>
        <w:pStyle w:val="Officelocationstyle"/>
      </w:pPr>
      <w:r w:rsidRPr="00FC4067">
        <w:t xml:space="preserve">Stones Corner Qld 4102 </w:t>
      </w:r>
    </w:p>
    <w:p w14:paraId="4A491C46" w14:textId="77777777" w:rsidR="008E728C" w:rsidRPr="00FC4067" w:rsidRDefault="008E728C" w:rsidP="00CF0A4C">
      <w:pPr>
        <w:pStyle w:val="Officelocationstyle"/>
      </w:pPr>
      <w:r w:rsidRPr="00FC4067">
        <w:t>Phone: 07 3873 7700</w:t>
      </w:r>
    </w:p>
    <w:p w14:paraId="71CE7388" w14:textId="58F64D35" w:rsidR="008E728C" w:rsidRPr="00FC4067" w:rsidRDefault="008E728C" w:rsidP="00CF0A4C">
      <w:pPr>
        <w:pStyle w:val="Officelocationstyle"/>
        <w:rPr>
          <w:sz w:val="20"/>
          <w:szCs w:val="20"/>
        </w:rPr>
      </w:pPr>
      <w:r w:rsidRPr="00FC4067">
        <w:rPr>
          <w:sz w:val="20"/>
          <w:szCs w:val="20"/>
        </w:rPr>
        <w:t>Email:</w:t>
      </w:r>
      <w:hyperlink r:id="rId44">
        <w:r w:rsidRPr="00FC4067">
          <w:rPr>
            <w:rStyle w:val="Hyperlink"/>
            <w:sz w:val="20"/>
            <w:szCs w:val="20"/>
          </w:rPr>
          <w:t>burandahsc@hpw.qld.gov.au</w:t>
        </w:r>
      </w:hyperlink>
    </w:p>
    <w:p w14:paraId="7B9BB202" w14:textId="77777777" w:rsidR="008E728C" w:rsidRPr="00FC4067" w:rsidRDefault="008E728C" w:rsidP="00CF0A4C">
      <w:pPr>
        <w:pStyle w:val="Officelocationsheadings"/>
      </w:pPr>
      <w:r w:rsidRPr="00FC4067">
        <w:t>Chermside Housing Service Centre</w:t>
      </w:r>
    </w:p>
    <w:p w14:paraId="1F08E95F" w14:textId="77777777" w:rsidR="008E728C" w:rsidRPr="00FC4067" w:rsidRDefault="008E728C" w:rsidP="00CF0A4C">
      <w:pPr>
        <w:pStyle w:val="Officelocationstyle"/>
      </w:pPr>
      <w:r w:rsidRPr="00FC4067">
        <w:t>3rd Floor, 18 Banfield Street</w:t>
      </w:r>
    </w:p>
    <w:p w14:paraId="33ED91B1" w14:textId="77777777" w:rsidR="008E728C" w:rsidRPr="00FC4067" w:rsidRDefault="008E728C" w:rsidP="00CF0A4C">
      <w:pPr>
        <w:pStyle w:val="Officelocationstyle"/>
      </w:pPr>
      <w:r w:rsidRPr="00FC4067">
        <w:t>PO Box 2352</w:t>
      </w:r>
    </w:p>
    <w:p w14:paraId="3BFB0546" w14:textId="77777777" w:rsidR="008E728C" w:rsidRPr="00FC4067" w:rsidRDefault="008E728C" w:rsidP="00CF0A4C">
      <w:pPr>
        <w:pStyle w:val="Officelocationstyle"/>
      </w:pPr>
      <w:r w:rsidRPr="00FC4067">
        <w:t>Chermside Qld 4032</w:t>
      </w:r>
    </w:p>
    <w:p w14:paraId="28061D55" w14:textId="77777777" w:rsidR="008E728C" w:rsidRPr="00FC4067" w:rsidRDefault="008E728C" w:rsidP="00CF0A4C">
      <w:pPr>
        <w:pStyle w:val="Officelocationstyle"/>
      </w:pPr>
      <w:r w:rsidRPr="00FC4067">
        <w:t>Phone: 07 3917 4600</w:t>
      </w:r>
    </w:p>
    <w:p w14:paraId="0F114B1C" w14:textId="7BFCCECE" w:rsidR="008F5338" w:rsidRPr="00FC4067" w:rsidRDefault="008E728C" w:rsidP="00CF0A4C">
      <w:pPr>
        <w:pStyle w:val="Officelocationstyle"/>
      </w:pPr>
      <w:r w:rsidRPr="00FC4067">
        <w:t xml:space="preserve">Maintenance enquiries: </w:t>
      </w:r>
    </w:p>
    <w:p w14:paraId="458AA783" w14:textId="2B4D6229" w:rsidR="008F5338" w:rsidRPr="00FC4067" w:rsidRDefault="008E728C" w:rsidP="00CF0A4C">
      <w:pPr>
        <w:pStyle w:val="Officelocationstyle"/>
      </w:pPr>
      <w:r w:rsidRPr="00FC4067">
        <w:t>07 3896 9973</w:t>
      </w:r>
    </w:p>
    <w:p w14:paraId="0DA003A0" w14:textId="7DB4C5F2" w:rsidR="008E728C" w:rsidRPr="00FC4067" w:rsidRDefault="008E728C" w:rsidP="00CF0A4C">
      <w:pPr>
        <w:pStyle w:val="Officelocationstyle"/>
        <w:rPr>
          <w:sz w:val="20"/>
          <w:szCs w:val="20"/>
        </w:rPr>
      </w:pPr>
      <w:r w:rsidRPr="00FC4067">
        <w:rPr>
          <w:sz w:val="20"/>
          <w:szCs w:val="20"/>
        </w:rPr>
        <w:t>Email:</w:t>
      </w:r>
      <w:hyperlink r:id="rId45">
        <w:r w:rsidRPr="00FC4067">
          <w:rPr>
            <w:rStyle w:val="Hyperlink"/>
            <w:sz w:val="20"/>
            <w:szCs w:val="20"/>
          </w:rPr>
          <w:t>chermsidehsc@hpw.qld.gov.au</w:t>
        </w:r>
      </w:hyperlink>
    </w:p>
    <w:p w14:paraId="22F41E29" w14:textId="77777777" w:rsidR="008E728C" w:rsidRPr="00FC4067" w:rsidRDefault="008E728C" w:rsidP="00CF0A4C">
      <w:pPr>
        <w:pStyle w:val="Officelocationsheadings"/>
      </w:pPr>
      <w:r w:rsidRPr="00FC4067">
        <w:t>Fortitude Valley Housing Service Centre</w:t>
      </w:r>
    </w:p>
    <w:p w14:paraId="0A35C09F" w14:textId="77777777" w:rsidR="008E728C" w:rsidRPr="00FC4067" w:rsidRDefault="008E728C" w:rsidP="00CF0A4C">
      <w:pPr>
        <w:pStyle w:val="Officelocationstyle"/>
      </w:pPr>
      <w:r w:rsidRPr="00FC4067">
        <w:t>505 St Pauls Terrace</w:t>
      </w:r>
    </w:p>
    <w:p w14:paraId="4B2B504E" w14:textId="77777777" w:rsidR="008E728C" w:rsidRPr="00FC4067" w:rsidRDefault="008E728C" w:rsidP="00CF0A4C">
      <w:pPr>
        <w:pStyle w:val="Officelocationstyle"/>
      </w:pPr>
      <w:r w:rsidRPr="00FC4067">
        <w:t>PO Box 445</w:t>
      </w:r>
    </w:p>
    <w:p w14:paraId="57B4912F" w14:textId="77777777" w:rsidR="008E728C" w:rsidRPr="00FC4067" w:rsidRDefault="008E728C" w:rsidP="00CF0A4C">
      <w:pPr>
        <w:pStyle w:val="Officelocationstyle"/>
      </w:pPr>
      <w:r w:rsidRPr="00FC4067">
        <w:t xml:space="preserve">Fortitude Valley Qld 4006 </w:t>
      </w:r>
    </w:p>
    <w:p w14:paraId="4532918A" w14:textId="77777777" w:rsidR="008E728C" w:rsidRPr="00FC4067" w:rsidRDefault="008E728C" w:rsidP="00CF0A4C">
      <w:pPr>
        <w:pStyle w:val="Officelocationstyle"/>
      </w:pPr>
      <w:r w:rsidRPr="00FC4067">
        <w:t>Phone: 07 3034 6500</w:t>
      </w:r>
    </w:p>
    <w:p w14:paraId="40063054" w14:textId="5B3C7F2F" w:rsidR="008E728C" w:rsidRPr="00FC4067" w:rsidRDefault="008E728C" w:rsidP="00CF0A4C">
      <w:pPr>
        <w:pStyle w:val="Officelocationstyle"/>
      </w:pPr>
      <w:r w:rsidRPr="00FC4067">
        <w:t>Maintenance enquiries: 07 3872 0303</w:t>
      </w:r>
    </w:p>
    <w:p w14:paraId="4878CE26" w14:textId="6E85DC31" w:rsidR="008E728C" w:rsidRPr="00FC4067" w:rsidRDefault="008E728C" w:rsidP="00CF0A4C">
      <w:pPr>
        <w:pStyle w:val="Officelocationstyle"/>
        <w:rPr>
          <w:sz w:val="20"/>
          <w:szCs w:val="20"/>
        </w:rPr>
      </w:pPr>
      <w:r w:rsidRPr="00FC4067">
        <w:rPr>
          <w:sz w:val="20"/>
          <w:szCs w:val="20"/>
        </w:rPr>
        <w:t>Email:</w:t>
      </w:r>
      <w:hyperlink r:id="rId46">
        <w:r w:rsidRPr="00FC4067">
          <w:rPr>
            <w:rStyle w:val="Hyperlink"/>
            <w:sz w:val="20"/>
            <w:szCs w:val="20"/>
          </w:rPr>
          <w:t>fortitudevalleyhsc@hpw.qld.gov.au</w:t>
        </w:r>
      </w:hyperlink>
    </w:p>
    <w:p w14:paraId="786E5FE4" w14:textId="77777777" w:rsidR="008E728C" w:rsidRPr="00FC4067" w:rsidRDefault="008E728C" w:rsidP="00CF0A4C">
      <w:pPr>
        <w:pStyle w:val="Officelocationsheadings"/>
      </w:pPr>
      <w:r w:rsidRPr="00FC4067">
        <w:t>lnala Housing Service Centre</w:t>
      </w:r>
    </w:p>
    <w:p w14:paraId="3D61941B" w14:textId="77777777" w:rsidR="008E728C" w:rsidRPr="00FC4067" w:rsidRDefault="008E728C" w:rsidP="00CF0A4C">
      <w:pPr>
        <w:pStyle w:val="Officelocationstyle"/>
      </w:pPr>
      <w:r w:rsidRPr="00FC4067">
        <w:t xml:space="preserve">14 Wirraway Parade </w:t>
      </w:r>
    </w:p>
    <w:p w14:paraId="637BA766" w14:textId="77777777" w:rsidR="008E728C" w:rsidRPr="00FC4067" w:rsidRDefault="008E728C" w:rsidP="00CF0A4C">
      <w:pPr>
        <w:pStyle w:val="Officelocationstyle"/>
      </w:pPr>
      <w:r w:rsidRPr="00FC4067">
        <w:t>PO Box 258</w:t>
      </w:r>
    </w:p>
    <w:p w14:paraId="19D1DADC" w14:textId="77777777" w:rsidR="008E728C" w:rsidRPr="00FC4067" w:rsidRDefault="008E728C" w:rsidP="00CF0A4C">
      <w:pPr>
        <w:pStyle w:val="Officelocationstyle"/>
      </w:pPr>
      <w:r w:rsidRPr="00FC4067">
        <w:t xml:space="preserve">lnala Qld 4077 </w:t>
      </w:r>
    </w:p>
    <w:p w14:paraId="22C5E57E" w14:textId="77777777" w:rsidR="008E728C" w:rsidRPr="00FC4067" w:rsidRDefault="008E728C" w:rsidP="00CF0A4C">
      <w:pPr>
        <w:pStyle w:val="Officelocationstyle"/>
      </w:pPr>
      <w:r w:rsidRPr="00FC4067">
        <w:t>Phone: 07 3723 2000</w:t>
      </w:r>
    </w:p>
    <w:p w14:paraId="17271737" w14:textId="205D4607" w:rsidR="008F5338" w:rsidRPr="00FC4067" w:rsidRDefault="008E728C" w:rsidP="00CF0A4C">
      <w:pPr>
        <w:pStyle w:val="Officelocationstyle"/>
        <w:rPr>
          <w:b/>
          <w:bCs/>
        </w:rPr>
      </w:pPr>
      <w:r w:rsidRPr="00FC4067">
        <w:t>Maintenance enquiries:</w:t>
      </w:r>
      <w:r w:rsidRPr="00FC4067">
        <w:rPr>
          <w:b/>
          <w:bCs/>
        </w:rPr>
        <w:t xml:space="preserve"> </w:t>
      </w:r>
    </w:p>
    <w:p w14:paraId="687D4811" w14:textId="77777777" w:rsidR="00424F28" w:rsidRDefault="008E728C" w:rsidP="00CF0A4C">
      <w:pPr>
        <w:pStyle w:val="Officelocationstyle"/>
        <w:rPr>
          <w:sz w:val="20"/>
          <w:szCs w:val="20"/>
        </w:rPr>
      </w:pPr>
      <w:r w:rsidRPr="00912E38">
        <w:lastRenderedPageBreak/>
        <w:t>07 3362 9230</w:t>
      </w:r>
      <w:r w:rsidRPr="00FC4067">
        <w:rPr>
          <w:sz w:val="20"/>
          <w:szCs w:val="20"/>
        </w:rPr>
        <w:t xml:space="preserve"> </w:t>
      </w:r>
    </w:p>
    <w:p w14:paraId="24F84901" w14:textId="65AAE76E" w:rsidR="008E728C" w:rsidRPr="00FC4067" w:rsidRDefault="008E728C" w:rsidP="00CF0A4C">
      <w:pPr>
        <w:pStyle w:val="Officelocationstyle"/>
      </w:pPr>
      <w:r w:rsidRPr="00FC4067">
        <w:rPr>
          <w:sz w:val="20"/>
          <w:szCs w:val="20"/>
        </w:rPr>
        <w:t xml:space="preserve">Email: </w:t>
      </w:r>
      <w:hyperlink r:id="rId47">
        <w:r w:rsidRPr="00FC4067">
          <w:rPr>
            <w:rStyle w:val="Hyperlink"/>
            <w:sz w:val="20"/>
            <w:szCs w:val="20"/>
          </w:rPr>
          <w:t>inalahsc@hpw.qld.gov.au</w:t>
        </w:r>
      </w:hyperlink>
    </w:p>
    <w:p w14:paraId="5B8CF4D2" w14:textId="5B7BC4AA" w:rsidR="008E728C" w:rsidRPr="00FC4067" w:rsidRDefault="00DD0E73" w:rsidP="00792F33">
      <w:pPr>
        <w:pStyle w:val="Heading3"/>
      </w:pPr>
      <w:r w:rsidRPr="00FC4067">
        <w:t>South West Region</w:t>
      </w:r>
    </w:p>
    <w:p w14:paraId="49990E54" w14:textId="77777777" w:rsidR="008E728C" w:rsidRPr="00FC4067" w:rsidRDefault="008E728C" w:rsidP="00CF0A4C">
      <w:pPr>
        <w:pStyle w:val="Officelocationsheadings"/>
      </w:pPr>
      <w:r w:rsidRPr="00FC4067">
        <w:t>Office of the Regional Director, South West Region</w:t>
      </w:r>
    </w:p>
    <w:p w14:paraId="0FC797E4" w14:textId="77777777" w:rsidR="008E728C" w:rsidRPr="00FC4067" w:rsidRDefault="008E728C" w:rsidP="00CF0A4C">
      <w:pPr>
        <w:pStyle w:val="Officelocationstyle"/>
      </w:pPr>
      <w:r w:rsidRPr="00FC4067">
        <w:t>Level 4, Icon Tower</w:t>
      </w:r>
    </w:p>
    <w:p w14:paraId="771AC477" w14:textId="77777777" w:rsidR="008E728C" w:rsidRPr="00FC4067" w:rsidRDefault="008E728C" w:rsidP="00CF0A4C">
      <w:pPr>
        <w:pStyle w:val="Officelocationstyle"/>
      </w:pPr>
      <w:r w:rsidRPr="00FC4067">
        <w:t>117 Brisbane Street</w:t>
      </w:r>
    </w:p>
    <w:p w14:paraId="58F003BD" w14:textId="77777777" w:rsidR="008E728C" w:rsidRPr="00FC4067" w:rsidRDefault="008E728C" w:rsidP="00CF0A4C">
      <w:pPr>
        <w:pStyle w:val="Officelocationstyle"/>
      </w:pPr>
      <w:r w:rsidRPr="00FC4067">
        <w:t>PO Box 255</w:t>
      </w:r>
    </w:p>
    <w:p w14:paraId="0ACC42E7" w14:textId="77777777" w:rsidR="008E728C" w:rsidRPr="00FC4067" w:rsidRDefault="008E728C" w:rsidP="00CF0A4C">
      <w:pPr>
        <w:pStyle w:val="Officelocationstyle"/>
      </w:pPr>
      <w:r w:rsidRPr="00FC4067">
        <w:t>Ipswich Qld 4305</w:t>
      </w:r>
    </w:p>
    <w:p w14:paraId="592F5835" w14:textId="77777777" w:rsidR="008E728C" w:rsidRPr="00FC4067" w:rsidRDefault="008E728C" w:rsidP="00CF0A4C">
      <w:pPr>
        <w:pStyle w:val="Officelocationstyle"/>
      </w:pPr>
      <w:r w:rsidRPr="00FC4067">
        <w:t>Phone: 07 3437 6044</w:t>
      </w:r>
    </w:p>
    <w:p w14:paraId="29040B7B" w14:textId="77777777" w:rsidR="008E728C" w:rsidRPr="00FC4067" w:rsidRDefault="008E728C" w:rsidP="00CF0A4C">
      <w:pPr>
        <w:pStyle w:val="Officelocationsheadings"/>
      </w:pPr>
      <w:r w:rsidRPr="00FC4067">
        <w:t>Bayside Housing Service Centre</w:t>
      </w:r>
    </w:p>
    <w:p w14:paraId="1B392F40" w14:textId="77777777" w:rsidR="008E728C" w:rsidRPr="00FC4067" w:rsidRDefault="008E728C" w:rsidP="00CF0A4C">
      <w:pPr>
        <w:pStyle w:val="Officelocationstyle"/>
      </w:pPr>
      <w:r w:rsidRPr="00FC4067">
        <w:t>Shop 3, 8-12 Dollery Road</w:t>
      </w:r>
    </w:p>
    <w:p w14:paraId="7BD65B40" w14:textId="77777777" w:rsidR="008E728C" w:rsidRPr="00FC4067" w:rsidRDefault="008E728C" w:rsidP="00CF0A4C">
      <w:pPr>
        <w:pStyle w:val="Officelocationstyle"/>
      </w:pPr>
      <w:r w:rsidRPr="00FC4067">
        <w:t>PO Box 91</w:t>
      </w:r>
    </w:p>
    <w:p w14:paraId="69779E82" w14:textId="238CA0E1" w:rsidR="008E728C" w:rsidRPr="00FC4067" w:rsidRDefault="008E728C" w:rsidP="00CF0A4C">
      <w:pPr>
        <w:pStyle w:val="Officelocationstyle"/>
      </w:pPr>
      <w:r w:rsidRPr="00FC4067">
        <w:t>C</w:t>
      </w:r>
      <w:r w:rsidR="00A2522D" w:rsidRPr="00FC4067">
        <w:t>apalaba Qld</w:t>
      </w:r>
      <w:r w:rsidRPr="00FC4067">
        <w:t xml:space="preserve"> 4157</w:t>
      </w:r>
    </w:p>
    <w:p w14:paraId="2D08CF99" w14:textId="7B604302" w:rsidR="008E728C" w:rsidRPr="00FC4067" w:rsidRDefault="00A2522D" w:rsidP="00CF0A4C">
      <w:pPr>
        <w:pStyle w:val="Officelocationstyle"/>
      </w:pPr>
      <w:r w:rsidRPr="00FC4067">
        <w:t xml:space="preserve">Phone: </w:t>
      </w:r>
      <w:r w:rsidR="008E728C" w:rsidRPr="00FC4067">
        <w:t>07 3034 9800</w:t>
      </w:r>
    </w:p>
    <w:p w14:paraId="35749D35" w14:textId="36F7B038" w:rsidR="00EC37DC" w:rsidRPr="00FC4067" w:rsidRDefault="008E728C" w:rsidP="00CF0A4C">
      <w:pPr>
        <w:pStyle w:val="Officelocationstyle"/>
      </w:pPr>
      <w:r w:rsidRPr="00FC4067">
        <w:t xml:space="preserve">Maintenance enquiries: </w:t>
      </w:r>
    </w:p>
    <w:p w14:paraId="4610E96A" w14:textId="6BFBAEAE" w:rsidR="008E728C" w:rsidRPr="00FC4067" w:rsidRDefault="008E728C" w:rsidP="00CF0A4C">
      <w:pPr>
        <w:pStyle w:val="Officelocationstyle"/>
      </w:pPr>
      <w:r w:rsidRPr="00FC4067">
        <w:t>07 3034 9891</w:t>
      </w:r>
    </w:p>
    <w:p w14:paraId="11D75044" w14:textId="77777777" w:rsidR="008E728C" w:rsidRPr="00FC4067" w:rsidRDefault="008E728C" w:rsidP="00CF0A4C">
      <w:pPr>
        <w:pStyle w:val="Officelocationstyle"/>
        <w:rPr>
          <w:sz w:val="20"/>
          <w:szCs w:val="20"/>
        </w:rPr>
      </w:pPr>
      <w:r w:rsidRPr="00FC4067">
        <w:rPr>
          <w:sz w:val="20"/>
          <w:szCs w:val="20"/>
        </w:rPr>
        <w:t xml:space="preserve">Email: </w:t>
      </w:r>
      <w:hyperlink r:id="rId48">
        <w:r w:rsidRPr="00FC4067">
          <w:rPr>
            <w:rStyle w:val="Hyperlink"/>
            <w:sz w:val="20"/>
            <w:szCs w:val="20"/>
          </w:rPr>
          <w:t>baysidehsc@hpw.qld.gov.au</w:t>
        </w:r>
      </w:hyperlink>
    </w:p>
    <w:p w14:paraId="027F61B0" w14:textId="77777777" w:rsidR="008E728C" w:rsidRPr="00FC4067" w:rsidRDefault="008E728C" w:rsidP="00CF0A4C">
      <w:pPr>
        <w:pStyle w:val="Officelocationsheadings"/>
      </w:pPr>
      <w:r w:rsidRPr="00FC4067">
        <w:t>Ipswich Housing Service Centre</w:t>
      </w:r>
    </w:p>
    <w:p w14:paraId="6BD33C1B" w14:textId="77777777" w:rsidR="008E728C" w:rsidRPr="00FC4067" w:rsidRDefault="008E728C" w:rsidP="00CF0A4C">
      <w:pPr>
        <w:pStyle w:val="Officelocationstyle"/>
      </w:pPr>
      <w:r w:rsidRPr="00FC4067">
        <w:t>Upper Ground Level, Icon Tower</w:t>
      </w:r>
    </w:p>
    <w:p w14:paraId="21B5C73B" w14:textId="77777777" w:rsidR="008E728C" w:rsidRPr="00FC4067" w:rsidRDefault="008E728C" w:rsidP="00CF0A4C">
      <w:pPr>
        <w:pStyle w:val="Officelocationstyle"/>
      </w:pPr>
      <w:r w:rsidRPr="00FC4067">
        <w:t>117 Brisbane Street</w:t>
      </w:r>
    </w:p>
    <w:p w14:paraId="55A8F0BC" w14:textId="77777777" w:rsidR="008E728C" w:rsidRPr="00FC4067" w:rsidRDefault="008E728C" w:rsidP="00CF0A4C">
      <w:pPr>
        <w:pStyle w:val="Officelocationstyle"/>
      </w:pPr>
      <w:r w:rsidRPr="00FC4067">
        <w:t>PO Box 263</w:t>
      </w:r>
    </w:p>
    <w:p w14:paraId="4D282F04" w14:textId="77777777" w:rsidR="008E728C" w:rsidRPr="00FC4067" w:rsidRDefault="008E728C" w:rsidP="00CF0A4C">
      <w:pPr>
        <w:pStyle w:val="Officelocationstyle"/>
      </w:pPr>
      <w:r w:rsidRPr="00FC4067">
        <w:t>Ipswich Qld 4305</w:t>
      </w:r>
    </w:p>
    <w:p w14:paraId="19A09AAD" w14:textId="77777777" w:rsidR="008E728C" w:rsidRPr="00FC4067" w:rsidRDefault="008E728C" w:rsidP="00CF0A4C">
      <w:pPr>
        <w:pStyle w:val="Officelocationstyle"/>
      </w:pPr>
      <w:r w:rsidRPr="00FC4067">
        <w:t>Phone: 07 3437 6000 or</w:t>
      </w:r>
    </w:p>
    <w:p w14:paraId="415A99BE" w14:textId="77777777" w:rsidR="008E728C" w:rsidRPr="00FC4067" w:rsidRDefault="008E728C" w:rsidP="00CF0A4C">
      <w:pPr>
        <w:pStyle w:val="Officelocationstyle"/>
      </w:pPr>
      <w:r w:rsidRPr="00FC4067">
        <w:t xml:space="preserve">Toll free: 1800 636 390 </w:t>
      </w:r>
    </w:p>
    <w:p w14:paraId="5DDB3596" w14:textId="4C1E162D" w:rsidR="000F4E2D" w:rsidRPr="00FC4067" w:rsidRDefault="008E728C" w:rsidP="00CF0A4C">
      <w:pPr>
        <w:pStyle w:val="Officelocationstyle"/>
      </w:pPr>
      <w:r w:rsidRPr="00FC4067">
        <w:t>Maintenance enquiries:</w:t>
      </w:r>
      <w:r w:rsidR="00E12C8E">
        <w:t xml:space="preserve"> </w:t>
      </w:r>
      <w:r w:rsidRPr="00FC4067">
        <w:t xml:space="preserve">07 3280 1778 </w:t>
      </w:r>
    </w:p>
    <w:p w14:paraId="4BC8DF05" w14:textId="07FF07CF" w:rsidR="008E728C" w:rsidRPr="00FC4067" w:rsidRDefault="008E728C" w:rsidP="00CF0A4C">
      <w:pPr>
        <w:pStyle w:val="Officelocationstyle"/>
        <w:rPr>
          <w:sz w:val="20"/>
          <w:szCs w:val="20"/>
        </w:rPr>
      </w:pPr>
      <w:r w:rsidRPr="00FC4067">
        <w:rPr>
          <w:sz w:val="20"/>
          <w:szCs w:val="20"/>
        </w:rPr>
        <w:t xml:space="preserve">Email: </w:t>
      </w:r>
      <w:hyperlink r:id="rId49">
        <w:r w:rsidRPr="00FC4067">
          <w:rPr>
            <w:rStyle w:val="Hyperlink"/>
            <w:sz w:val="20"/>
            <w:szCs w:val="20"/>
          </w:rPr>
          <w:t>ipswichhsc@hpw.qld.gov.au</w:t>
        </w:r>
      </w:hyperlink>
    </w:p>
    <w:p w14:paraId="38387311" w14:textId="77777777" w:rsidR="008E728C" w:rsidRPr="00FC4067" w:rsidRDefault="008E728C" w:rsidP="00CF0A4C">
      <w:pPr>
        <w:pStyle w:val="Officelocationsheadings"/>
      </w:pPr>
      <w:r w:rsidRPr="00FC4067">
        <w:t>Gold Coast Housing Service Centre</w:t>
      </w:r>
    </w:p>
    <w:p w14:paraId="68A31F73" w14:textId="77777777" w:rsidR="008E728C" w:rsidRPr="00FC4067" w:rsidRDefault="008E728C" w:rsidP="00CF0A4C">
      <w:pPr>
        <w:pStyle w:val="Officelocationstyle"/>
      </w:pPr>
      <w:r w:rsidRPr="00FC4067">
        <w:t>Shop 80, Bazaar Street Robina Town Centre PO Box 4059</w:t>
      </w:r>
    </w:p>
    <w:p w14:paraId="54FA7B88" w14:textId="63AAD6A2" w:rsidR="008E728C" w:rsidRPr="00FC4067" w:rsidRDefault="008E728C" w:rsidP="00CF0A4C">
      <w:pPr>
        <w:pStyle w:val="Officelocationstyle"/>
      </w:pPr>
      <w:r w:rsidRPr="00FC4067">
        <w:t>R</w:t>
      </w:r>
      <w:r w:rsidR="004902D0" w:rsidRPr="00FC4067">
        <w:t>obina Town Centre Qld</w:t>
      </w:r>
      <w:r w:rsidRPr="00FC4067">
        <w:t xml:space="preserve"> 4230 </w:t>
      </w:r>
      <w:r w:rsidR="004902D0" w:rsidRPr="00FC4067">
        <w:t xml:space="preserve">Phone: </w:t>
      </w:r>
      <w:r w:rsidRPr="00FC4067">
        <w:t>07 5645 8100</w:t>
      </w:r>
    </w:p>
    <w:p w14:paraId="36CD4637" w14:textId="77777777" w:rsidR="004902D0" w:rsidRPr="00FC4067" w:rsidRDefault="008E728C" w:rsidP="00CF0A4C">
      <w:pPr>
        <w:pStyle w:val="Officelocationstyle"/>
      </w:pPr>
      <w:r w:rsidRPr="00FC4067">
        <w:t>Maintenance enquiries:</w:t>
      </w:r>
    </w:p>
    <w:p w14:paraId="2861FACE" w14:textId="2BF8E2F7" w:rsidR="008E728C" w:rsidRPr="00FC4067" w:rsidRDefault="008E728C" w:rsidP="00CF0A4C">
      <w:pPr>
        <w:pStyle w:val="Officelocationstyle"/>
      </w:pPr>
      <w:r w:rsidRPr="00FC4067">
        <w:t>1300 650 917</w:t>
      </w:r>
    </w:p>
    <w:p w14:paraId="51DF87FA" w14:textId="77777777" w:rsidR="008E728C" w:rsidRPr="00FC4067" w:rsidRDefault="008E728C" w:rsidP="00CF0A4C">
      <w:pPr>
        <w:pStyle w:val="Officelocationstyle"/>
        <w:rPr>
          <w:sz w:val="20"/>
          <w:szCs w:val="20"/>
        </w:rPr>
      </w:pPr>
      <w:r w:rsidRPr="00FC4067">
        <w:rPr>
          <w:sz w:val="20"/>
          <w:szCs w:val="20"/>
        </w:rPr>
        <w:t xml:space="preserve">Email: </w:t>
      </w:r>
      <w:hyperlink r:id="rId50">
        <w:r w:rsidRPr="00FC4067">
          <w:rPr>
            <w:rStyle w:val="Hyperlink"/>
            <w:sz w:val="20"/>
            <w:szCs w:val="20"/>
          </w:rPr>
          <w:t>goldcoasthsc@hpw.qld.gov.au</w:t>
        </w:r>
      </w:hyperlink>
    </w:p>
    <w:p w14:paraId="7DE643A3" w14:textId="77777777" w:rsidR="008E728C" w:rsidRPr="00FC4067" w:rsidRDefault="008E728C" w:rsidP="00CF0A4C">
      <w:pPr>
        <w:pStyle w:val="Officelocationsheadings"/>
      </w:pPr>
      <w:r w:rsidRPr="00FC4067">
        <w:t>Logan Housing Service Centre</w:t>
      </w:r>
    </w:p>
    <w:p w14:paraId="05BDD1AF" w14:textId="77777777" w:rsidR="008E728C" w:rsidRPr="00FC4067" w:rsidRDefault="008E728C" w:rsidP="00CF0A4C">
      <w:pPr>
        <w:pStyle w:val="Officelocationstyle"/>
      </w:pPr>
      <w:r w:rsidRPr="00FC4067">
        <w:t>11 Station Road</w:t>
      </w:r>
    </w:p>
    <w:p w14:paraId="5E21D7A7" w14:textId="77777777" w:rsidR="008E728C" w:rsidRPr="00FC4067" w:rsidRDefault="008E728C" w:rsidP="00CF0A4C">
      <w:pPr>
        <w:pStyle w:val="Officelocationstyle"/>
      </w:pPr>
      <w:r w:rsidRPr="00FC4067">
        <w:t>PO Box 5</w:t>
      </w:r>
    </w:p>
    <w:p w14:paraId="535AFA88" w14:textId="0627D69B" w:rsidR="008E728C" w:rsidRPr="00FC4067" w:rsidRDefault="008E728C" w:rsidP="00CF0A4C">
      <w:pPr>
        <w:pStyle w:val="Officelocationstyle"/>
      </w:pPr>
      <w:r w:rsidRPr="00FC4067">
        <w:t>W</w:t>
      </w:r>
      <w:r w:rsidR="0085140E" w:rsidRPr="00FC4067">
        <w:t>oodridge Qld</w:t>
      </w:r>
      <w:r w:rsidRPr="00FC4067">
        <w:t xml:space="preserve"> 4114</w:t>
      </w:r>
    </w:p>
    <w:p w14:paraId="644A1D94" w14:textId="33E4B89E" w:rsidR="008E728C" w:rsidRPr="00FC4067" w:rsidRDefault="0085140E" w:rsidP="00CF0A4C">
      <w:pPr>
        <w:pStyle w:val="Officelocationstyle"/>
      </w:pPr>
      <w:r w:rsidRPr="00FC4067">
        <w:t xml:space="preserve">Phone: </w:t>
      </w:r>
      <w:r w:rsidR="008E728C" w:rsidRPr="00FC4067">
        <w:t>07 3086 3700</w:t>
      </w:r>
    </w:p>
    <w:p w14:paraId="29A89C5F" w14:textId="77777777" w:rsidR="008F5338" w:rsidRPr="00FC4067" w:rsidRDefault="008E728C" w:rsidP="00CF0A4C">
      <w:pPr>
        <w:pStyle w:val="Officelocationstyle"/>
      </w:pPr>
      <w:r w:rsidRPr="00FC4067">
        <w:t>Maintenance enquiries:</w:t>
      </w:r>
    </w:p>
    <w:p w14:paraId="58B2E7D9" w14:textId="425F0089" w:rsidR="008F5338" w:rsidRPr="00FC4067" w:rsidRDefault="008E728C" w:rsidP="00CF0A4C">
      <w:pPr>
        <w:pStyle w:val="Officelocationstyle"/>
      </w:pPr>
      <w:r w:rsidRPr="00FC4067">
        <w:t>07 3086 3740</w:t>
      </w:r>
    </w:p>
    <w:p w14:paraId="0A5D9F5E" w14:textId="51A46056" w:rsidR="008E728C" w:rsidRPr="00FC4067" w:rsidRDefault="008E728C" w:rsidP="00CF0A4C">
      <w:pPr>
        <w:pStyle w:val="Officelocationstyle"/>
        <w:rPr>
          <w:sz w:val="20"/>
          <w:szCs w:val="20"/>
        </w:rPr>
      </w:pPr>
      <w:r w:rsidRPr="00FC4067">
        <w:rPr>
          <w:sz w:val="20"/>
          <w:szCs w:val="20"/>
        </w:rPr>
        <w:t xml:space="preserve">Email: </w:t>
      </w:r>
      <w:hyperlink r:id="rId51">
        <w:r w:rsidRPr="00FC4067">
          <w:rPr>
            <w:rStyle w:val="Hyperlink"/>
            <w:sz w:val="20"/>
            <w:szCs w:val="20"/>
          </w:rPr>
          <w:t>loganhsc@hpw.qld.gov.au</w:t>
        </w:r>
      </w:hyperlink>
    </w:p>
    <w:p w14:paraId="53E20208" w14:textId="77777777" w:rsidR="008E728C" w:rsidRPr="00FC4067" w:rsidRDefault="008E728C" w:rsidP="00CF0A4C">
      <w:pPr>
        <w:pStyle w:val="Officelocationsheadings"/>
      </w:pPr>
      <w:r w:rsidRPr="00FC4067">
        <w:t>Toowoomba and South West Housing Service Centre</w:t>
      </w:r>
    </w:p>
    <w:p w14:paraId="67848EE3" w14:textId="77777777" w:rsidR="009E559B" w:rsidRPr="00FC4067" w:rsidRDefault="008E728C" w:rsidP="00CF0A4C">
      <w:pPr>
        <w:pStyle w:val="Officelocationstyle"/>
      </w:pPr>
      <w:r w:rsidRPr="00FC4067">
        <w:t>Level 2, Condamine Centre</w:t>
      </w:r>
    </w:p>
    <w:p w14:paraId="2074DE93" w14:textId="2A10918B" w:rsidR="008E728C" w:rsidRPr="00FC4067" w:rsidRDefault="008E728C" w:rsidP="00CF0A4C">
      <w:pPr>
        <w:pStyle w:val="Officelocationstyle"/>
      </w:pPr>
      <w:r w:rsidRPr="00FC4067">
        <w:t>10 Russell Street</w:t>
      </w:r>
    </w:p>
    <w:p w14:paraId="3E8B75EF" w14:textId="77777777" w:rsidR="008E728C" w:rsidRPr="00FC4067" w:rsidRDefault="008E728C" w:rsidP="00CF0A4C">
      <w:pPr>
        <w:pStyle w:val="Officelocationstyle"/>
      </w:pPr>
      <w:r w:rsidRPr="00FC4067">
        <w:t>PO Box 418</w:t>
      </w:r>
    </w:p>
    <w:p w14:paraId="07382513" w14:textId="58AC5437" w:rsidR="008E728C" w:rsidRPr="00FC4067" w:rsidRDefault="008E728C" w:rsidP="00CF0A4C">
      <w:pPr>
        <w:pStyle w:val="Officelocationstyle"/>
      </w:pPr>
      <w:r w:rsidRPr="00FC4067">
        <w:t>T</w:t>
      </w:r>
      <w:r w:rsidR="004902D0" w:rsidRPr="00FC4067">
        <w:t>oowoomba Qld</w:t>
      </w:r>
      <w:r w:rsidRPr="00FC4067">
        <w:t xml:space="preserve"> 4350</w:t>
      </w:r>
    </w:p>
    <w:p w14:paraId="0FF2F5D0" w14:textId="1B9F75C9" w:rsidR="008E728C" w:rsidRPr="00FC4067" w:rsidRDefault="004902D0" w:rsidP="00CF0A4C">
      <w:pPr>
        <w:pStyle w:val="Officelocationstyle"/>
      </w:pPr>
      <w:r w:rsidRPr="00FC4067">
        <w:t xml:space="preserve">Phone: </w:t>
      </w:r>
      <w:r w:rsidR="008E728C" w:rsidRPr="00FC4067">
        <w:t>07 4699 4400</w:t>
      </w:r>
    </w:p>
    <w:p w14:paraId="76CCF0F8" w14:textId="77777777" w:rsidR="008E728C" w:rsidRPr="00FC4067" w:rsidRDefault="008E728C" w:rsidP="00CF0A4C">
      <w:pPr>
        <w:pStyle w:val="Officelocationstyle"/>
      </w:pPr>
      <w:r w:rsidRPr="00FC4067">
        <w:t>1800 623 435 (within area)</w:t>
      </w:r>
    </w:p>
    <w:p w14:paraId="537B70E4" w14:textId="4F767104" w:rsidR="00EC37DC" w:rsidRPr="00FC4067" w:rsidRDefault="008E728C" w:rsidP="00CF0A4C">
      <w:pPr>
        <w:pStyle w:val="Officelocationstyle"/>
      </w:pPr>
      <w:r w:rsidRPr="00FC4067">
        <w:t>Maintenance enquiries:</w:t>
      </w:r>
    </w:p>
    <w:p w14:paraId="2A1D9DDB" w14:textId="0DDA8DDC" w:rsidR="00EC37DC" w:rsidRPr="00FC4067" w:rsidRDefault="008E728C" w:rsidP="00CF0A4C">
      <w:pPr>
        <w:pStyle w:val="Officelocationstyle"/>
      </w:pPr>
      <w:r w:rsidRPr="00FC4067">
        <w:t xml:space="preserve">1300 650 915 </w:t>
      </w:r>
    </w:p>
    <w:p w14:paraId="2F455414" w14:textId="1480D783" w:rsidR="008E728C" w:rsidRPr="00FC4067" w:rsidRDefault="008E728C" w:rsidP="00CF0A4C">
      <w:pPr>
        <w:pStyle w:val="Officelocationstyle"/>
        <w:rPr>
          <w:rStyle w:val="Hyperlink"/>
          <w:sz w:val="20"/>
          <w:szCs w:val="20"/>
        </w:rPr>
      </w:pPr>
      <w:r w:rsidRPr="00FC4067">
        <w:rPr>
          <w:sz w:val="20"/>
          <w:szCs w:val="20"/>
        </w:rPr>
        <w:t>Email:</w:t>
      </w:r>
      <w:hyperlink r:id="rId52">
        <w:r w:rsidRPr="00FC4067">
          <w:rPr>
            <w:rStyle w:val="Hyperlink"/>
            <w:sz w:val="20"/>
            <w:szCs w:val="20"/>
          </w:rPr>
          <w:t>toowoombahsc@hpw.qld.gov.au</w:t>
        </w:r>
      </w:hyperlink>
    </w:p>
    <w:p w14:paraId="15C67D5A" w14:textId="3129D517" w:rsidR="00915979" w:rsidRPr="00FC4067" w:rsidRDefault="00915979" w:rsidP="00CF0A4C"/>
    <w:p w14:paraId="5B12BB91" w14:textId="77777777" w:rsidR="00DD1FA6" w:rsidRPr="00FC4067" w:rsidRDefault="00DD1FA6" w:rsidP="0004270E">
      <w:pPr>
        <w:pStyle w:val="Heading2"/>
        <w:rPr>
          <w:rStyle w:val="bold0"/>
          <w:rFonts w:asciiTheme="majorHAnsi" w:hAnsiTheme="majorHAnsi"/>
          <w:sz w:val="20"/>
          <w:szCs w:val="20"/>
        </w:rPr>
        <w:sectPr w:rsidR="00DD1FA6" w:rsidRPr="00FC4067" w:rsidSect="00DC4782">
          <w:type w:val="continuous"/>
          <w:pgSz w:w="11906" w:h="16838"/>
          <w:pgMar w:top="1440" w:right="1021" w:bottom="1440" w:left="1021" w:header="709" w:footer="709" w:gutter="0"/>
          <w:cols w:space="454"/>
          <w:docGrid w:linePitch="360"/>
        </w:sectPr>
      </w:pPr>
    </w:p>
    <w:p w14:paraId="6EA96CC4" w14:textId="04045579" w:rsidR="0081617D" w:rsidRPr="00FC4067" w:rsidRDefault="002F0A6A" w:rsidP="00DC4782">
      <w:pPr>
        <w:pStyle w:val="Heading2"/>
        <w:rPr>
          <w:rStyle w:val="bold0"/>
          <w:rFonts w:ascii="Arial" w:hAnsi="Arial" w:cstheme="majorBidi"/>
        </w:rPr>
      </w:pPr>
      <w:bookmarkStart w:id="114" w:name="_Toc494984656"/>
      <w:r>
        <w:rPr>
          <w:rStyle w:val="bold0"/>
          <w:rFonts w:ascii="Arial" w:hAnsi="Arial" w:cstheme="majorBidi"/>
        </w:rPr>
        <w:t>Other Departmental O</w:t>
      </w:r>
      <w:r w:rsidRPr="00FC4067">
        <w:rPr>
          <w:rStyle w:val="bold0"/>
          <w:rFonts w:ascii="Arial" w:hAnsi="Arial" w:cstheme="majorBidi"/>
        </w:rPr>
        <w:t>ffices</w:t>
      </w:r>
      <w:bookmarkEnd w:id="105"/>
      <w:bookmarkEnd w:id="114"/>
    </w:p>
    <w:p w14:paraId="74BE9422" w14:textId="77777777" w:rsidR="0081617D" w:rsidRPr="00FC4067" w:rsidRDefault="0081617D" w:rsidP="00CF0A4C">
      <w:pPr>
        <w:pStyle w:val="Officelocationsheadings"/>
        <w:rPr>
          <w:rStyle w:val="bold0"/>
          <w:rFonts w:ascii="Arial" w:hAnsi="Arial" w:cstheme="minorBidi"/>
        </w:rPr>
      </w:pPr>
      <w:r w:rsidRPr="00FC4067">
        <w:rPr>
          <w:rStyle w:val="bold0"/>
          <w:rFonts w:ascii="Arial" w:hAnsi="Arial" w:cstheme="minorBidi"/>
        </w:rPr>
        <w:t xml:space="preserve">Building Industry and Policy </w:t>
      </w:r>
    </w:p>
    <w:p w14:paraId="4E45E326"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Level 16, 41 George Street</w:t>
      </w:r>
    </w:p>
    <w:p w14:paraId="6A27F9F3"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GPO Box 2457</w:t>
      </w:r>
    </w:p>
    <w:p w14:paraId="1AACD49E"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Brisbane Qld 4001</w:t>
      </w:r>
    </w:p>
    <w:p w14:paraId="7365761B"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 xml:space="preserve">Phone: 07 3008 2504 </w:t>
      </w:r>
    </w:p>
    <w:p w14:paraId="1670D94E"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 xml:space="preserve">Email: OADG.BIP@hpw.qld.gov.au </w:t>
      </w:r>
    </w:p>
    <w:p w14:paraId="024D439B"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Internet: www.hpw.qld.gov.au</w:t>
      </w:r>
    </w:p>
    <w:p w14:paraId="6927429C" w14:textId="77777777" w:rsidR="0081617D" w:rsidRPr="00FC4067" w:rsidRDefault="0081617D" w:rsidP="00CF0A4C">
      <w:pPr>
        <w:pStyle w:val="Officelocationstyle"/>
        <w:rPr>
          <w:rStyle w:val="bold0"/>
          <w:rFonts w:ascii="Arial" w:hAnsi="Arial" w:cstheme="minorBidi"/>
        </w:rPr>
      </w:pPr>
    </w:p>
    <w:p w14:paraId="22334872" w14:textId="0273FA09" w:rsidR="0081617D" w:rsidRPr="00FC4067" w:rsidRDefault="0081617D" w:rsidP="00CF0A4C">
      <w:pPr>
        <w:pStyle w:val="Officelocationsheadings"/>
        <w:rPr>
          <w:rStyle w:val="bold0"/>
          <w:rFonts w:ascii="Arial" w:hAnsi="Arial" w:cstheme="minorBidi"/>
        </w:rPr>
      </w:pPr>
      <w:r w:rsidRPr="00FC4067">
        <w:rPr>
          <w:rStyle w:val="bold0"/>
          <w:rFonts w:ascii="Arial" w:hAnsi="Arial" w:cstheme="minorBidi"/>
        </w:rPr>
        <w:t xml:space="preserve">Building and Development Dispute Resolution Committees </w:t>
      </w:r>
      <w:r w:rsidR="008937DB" w:rsidRPr="00FC4067">
        <w:rPr>
          <w:rStyle w:val="bold0"/>
          <w:rFonts w:ascii="Arial" w:hAnsi="Arial" w:cstheme="minorBidi"/>
        </w:rPr>
        <w:t>(Development Tribunals)</w:t>
      </w:r>
    </w:p>
    <w:p w14:paraId="246F0BDE"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Level 16, 41 George Street</w:t>
      </w:r>
    </w:p>
    <w:p w14:paraId="5326FDF1"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GPO Box 2457</w:t>
      </w:r>
    </w:p>
    <w:p w14:paraId="19E8EC88"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Brisbane Qld 4001</w:t>
      </w:r>
    </w:p>
    <w:p w14:paraId="17C6D90D"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Phone: 1800 804 833</w:t>
      </w:r>
    </w:p>
    <w:p w14:paraId="428191AD"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 xml:space="preserve">Email: registrar@qld.gov.au </w:t>
      </w:r>
    </w:p>
    <w:p w14:paraId="7FBE7E66"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Internet: www.hpw.qld.gov.au</w:t>
      </w:r>
    </w:p>
    <w:p w14:paraId="4A04061E" w14:textId="77777777" w:rsidR="0081617D" w:rsidRPr="00FC4067" w:rsidRDefault="0081617D" w:rsidP="00CF0A4C">
      <w:pPr>
        <w:pStyle w:val="Officelocationstyle"/>
        <w:rPr>
          <w:rStyle w:val="bold0"/>
          <w:rFonts w:ascii="Arial" w:hAnsi="Arial" w:cstheme="minorBidi"/>
        </w:rPr>
      </w:pPr>
    </w:p>
    <w:p w14:paraId="176B7881" w14:textId="37D3159F" w:rsidR="0081617D" w:rsidRPr="00FC4067" w:rsidRDefault="0081617D" w:rsidP="00CF0A4C">
      <w:pPr>
        <w:pStyle w:val="Officelocationsheadings"/>
        <w:rPr>
          <w:rStyle w:val="bold0"/>
          <w:rFonts w:ascii="Arial" w:hAnsi="Arial" w:cstheme="minorBidi"/>
        </w:rPr>
      </w:pPr>
      <w:r w:rsidRPr="00FC4067">
        <w:rPr>
          <w:rStyle w:val="bold0"/>
          <w:rFonts w:ascii="Arial" w:hAnsi="Arial" w:cstheme="minorBidi"/>
        </w:rPr>
        <w:t>Prequalification (PQC) System</w:t>
      </w:r>
    </w:p>
    <w:p w14:paraId="10FAAAE8"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Level 16, 41 George Street</w:t>
      </w:r>
    </w:p>
    <w:p w14:paraId="7B7B490A"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GPO Box 2457</w:t>
      </w:r>
    </w:p>
    <w:p w14:paraId="43ADFEC4"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Brisbane Qld 4001</w:t>
      </w:r>
    </w:p>
    <w:p w14:paraId="0513820B"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Phone: 1800 072 621</w:t>
      </w:r>
    </w:p>
    <w:p w14:paraId="5870957E"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 xml:space="preserve">Email: pqcregistrar@hpw.qld.gov.au </w:t>
      </w:r>
    </w:p>
    <w:p w14:paraId="7223F722" w14:textId="77777777" w:rsidR="0081617D" w:rsidRPr="00FC4067" w:rsidRDefault="0081617D" w:rsidP="00CF0A4C">
      <w:pPr>
        <w:pStyle w:val="Officelocationstyle"/>
        <w:rPr>
          <w:rStyle w:val="bold0"/>
          <w:rFonts w:ascii="Arial" w:hAnsi="Arial" w:cstheme="minorBidi"/>
        </w:rPr>
      </w:pPr>
      <w:r w:rsidRPr="00FC4067">
        <w:rPr>
          <w:rStyle w:val="bold0"/>
          <w:rFonts w:ascii="Arial" w:hAnsi="Arial" w:cstheme="minorBidi"/>
        </w:rPr>
        <w:t>Internet: www.hpw.qld.gov.au</w:t>
      </w:r>
    </w:p>
    <w:p w14:paraId="68CCD6EC" w14:textId="77777777" w:rsidR="0081617D" w:rsidRPr="00FC4067" w:rsidRDefault="0081617D" w:rsidP="00CF0A4C">
      <w:pPr>
        <w:pStyle w:val="Officelocationstyle"/>
        <w:rPr>
          <w:rStyle w:val="bold0"/>
          <w:rFonts w:ascii="Arial" w:hAnsi="Arial" w:cstheme="minorBidi"/>
          <w:color w:val="000000" w:themeColor="text1"/>
        </w:rPr>
      </w:pPr>
    </w:p>
    <w:p w14:paraId="155E1A71" w14:textId="77777777" w:rsidR="0081617D" w:rsidRPr="00FC4067" w:rsidRDefault="0081617D" w:rsidP="00CF0A4C">
      <w:pPr>
        <w:pStyle w:val="Officelocationsheadings"/>
        <w:rPr>
          <w:rStyle w:val="bold0"/>
          <w:rFonts w:ascii="Arial" w:hAnsi="Arial" w:cstheme="minorBidi"/>
          <w:color w:val="000000" w:themeColor="text1"/>
        </w:rPr>
      </w:pPr>
      <w:r w:rsidRPr="00FC4067">
        <w:rPr>
          <w:rStyle w:val="bold0"/>
          <w:rFonts w:ascii="Arial" w:hAnsi="Arial" w:cstheme="minorBidi"/>
          <w:color w:val="000000" w:themeColor="text1"/>
        </w:rPr>
        <w:t>QFleet</w:t>
      </w:r>
    </w:p>
    <w:p w14:paraId="56291A72"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Head Office</w:t>
      </w:r>
    </w:p>
    <w:p w14:paraId="6EC90303" w14:textId="77777777" w:rsidR="00820FF4" w:rsidRPr="00FC4067" w:rsidRDefault="00820FF4" w:rsidP="00820FF4">
      <w:pPr>
        <w:pStyle w:val="Officelocationstyle"/>
        <w:rPr>
          <w:rStyle w:val="bold0"/>
          <w:rFonts w:ascii="Arial" w:hAnsi="Arial" w:cstheme="minorBidi"/>
        </w:rPr>
      </w:pPr>
      <w:r w:rsidRPr="00FC4067">
        <w:rPr>
          <w:rStyle w:val="bold0"/>
          <w:rFonts w:ascii="Arial" w:hAnsi="Arial" w:cstheme="minorBidi"/>
        </w:rPr>
        <w:t xml:space="preserve">Mezzanine Level, </w:t>
      </w:r>
      <w:r w:rsidRPr="00FC4067">
        <w:rPr>
          <w:rStyle w:val="bold0"/>
          <w:rFonts w:ascii="Arial" w:hAnsi="Arial" w:cstheme="minorBidi"/>
          <w:color w:val="000000" w:themeColor="text1"/>
        </w:rPr>
        <w:t>60 Albert Street</w:t>
      </w:r>
      <w:r w:rsidRPr="00FC4067">
        <w:rPr>
          <w:rStyle w:val="bold0"/>
          <w:rFonts w:ascii="Arial" w:hAnsi="Arial" w:cstheme="minorBidi"/>
        </w:rPr>
        <w:t xml:space="preserve"> </w:t>
      </w:r>
    </w:p>
    <w:p w14:paraId="4BB1033B"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GPO Box 293</w:t>
      </w:r>
    </w:p>
    <w:p w14:paraId="60D5DA42"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Brisbane Qld 4001</w:t>
      </w:r>
    </w:p>
    <w:p w14:paraId="0722EF12"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Phone: 07 3008 2633</w:t>
      </w:r>
    </w:p>
    <w:p w14:paraId="6E7F0210"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Email: qfleet-mail@qfleet.qld.gov.au</w:t>
      </w:r>
    </w:p>
    <w:p w14:paraId="197F10A8"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Internet: www.qfleet.qld.gov.au</w:t>
      </w:r>
    </w:p>
    <w:p w14:paraId="3AAEC5CA" w14:textId="77777777" w:rsidR="0081617D" w:rsidRPr="00FC4067" w:rsidRDefault="0081617D" w:rsidP="00CF0A4C">
      <w:pPr>
        <w:pStyle w:val="Officelocationstyle"/>
        <w:rPr>
          <w:rStyle w:val="bold0"/>
          <w:rFonts w:ascii="Arial" w:hAnsi="Arial" w:cstheme="minorBidi"/>
          <w:color w:val="000000" w:themeColor="text1"/>
        </w:rPr>
      </w:pPr>
    </w:p>
    <w:p w14:paraId="5DE6982B" w14:textId="77777777" w:rsidR="0081617D" w:rsidRPr="00FC4067" w:rsidRDefault="0081617D" w:rsidP="00CF0A4C">
      <w:pPr>
        <w:pStyle w:val="Officelocationsheadings"/>
        <w:rPr>
          <w:rStyle w:val="bold0"/>
          <w:rFonts w:ascii="Arial" w:hAnsi="Arial" w:cstheme="minorBidi"/>
          <w:color w:val="000000" w:themeColor="text1"/>
        </w:rPr>
      </w:pPr>
      <w:r w:rsidRPr="00FC4067">
        <w:rPr>
          <w:rStyle w:val="bold0"/>
          <w:rFonts w:ascii="Arial" w:hAnsi="Arial" w:cstheme="minorBidi"/>
          <w:color w:val="000000" w:themeColor="text1"/>
        </w:rPr>
        <w:t>Queensland Government Accommodation Office</w:t>
      </w:r>
    </w:p>
    <w:p w14:paraId="726895E4"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Head Office</w:t>
      </w:r>
    </w:p>
    <w:p w14:paraId="314B37BA" w14:textId="096ABF6C"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 xml:space="preserve">Level </w:t>
      </w:r>
      <w:r w:rsidR="007850CD" w:rsidRPr="00FC4067">
        <w:rPr>
          <w:rStyle w:val="bold0"/>
          <w:rFonts w:ascii="Arial" w:hAnsi="Arial" w:cstheme="minorBidi"/>
          <w:color w:val="000000" w:themeColor="text1"/>
        </w:rPr>
        <w:t>4</w:t>
      </w:r>
      <w:r w:rsidRPr="00FC4067">
        <w:rPr>
          <w:rStyle w:val="bold0"/>
          <w:rFonts w:ascii="Arial" w:hAnsi="Arial" w:cstheme="minorBidi"/>
          <w:color w:val="000000" w:themeColor="text1"/>
        </w:rPr>
        <w:t xml:space="preserve">, </w:t>
      </w:r>
      <w:r w:rsidR="007850CD" w:rsidRPr="00FC4067">
        <w:rPr>
          <w:rStyle w:val="bold0"/>
          <w:rFonts w:ascii="Arial" w:hAnsi="Arial" w:cstheme="minorBidi"/>
          <w:color w:val="000000" w:themeColor="text1"/>
        </w:rPr>
        <w:t>6</w:t>
      </w:r>
      <w:r w:rsidRPr="00FC4067">
        <w:rPr>
          <w:rStyle w:val="bold0"/>
          <w:rFonts w:ascii="Arial" w:hAnsi="Arial" w:cstheme="minorBidi"/>
          <w:color w:val="000000" w:themeColor="text1"/>
        </w:rPr>
        <w:t xml:space="preserve">0 </w:t>
      </w:r>
      <w:r w:rsidR="00891EDA" w:rsidRPr="00FC4067">
        <w:rPr>
          <w:rStyle w:val="bold0"/>
          <w:rFonts w:ascii="Arial" w:hAnsi="Arial" w:cstheme="minorBidi"/>
          <w:color w:val="000000" w:themeColor="text1"/>
        </w:rPr>
        <w:t>Albert</w:t>
      </w:r>
      <w:r w:rsidRPr="00FC4067">
        <w:rPr>
          <w:rStyle w:val="bold0"/>
          <w:rFonts w:ascii="Arial" w:hAnsi="Arial" w:cstheme="minorBidi"/>
          <w:color w:val="000000" w:themeColor="text1"/>
        </w:rPr>
        <w:t xml:space="preserve"> Street</w:t>
      </w:r>
    </w:p>
    <w:p w14:paraId="2DA5A3A0"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GPO Box 2457</w:t>
      </w:r>
    </w:p>
    <w:p w14:paraId="46830EC9"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Brisbane Qld 4001</w:t>
      </w:r>
    </w:p>
    <w:p w14:paraId="2CDB10CF"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Phone: 07 3008 2761</w:t>
      </w:r>
    </w:p>
    <w:p w14:paraId="6B209C3B"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Fax: 07 3224 6266</w:t>
      </w:r>
    </w:p>
    <w:p w14:paraId="5D1664C4"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 xml:space="preserve">Email: QGAO.enquiries@hpw.qld.gov.au </w:t>
      </w:r>
    </w:p>
    <w:p w14:paraId="3F248B3F" w14:textId="6DEDAB62"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Internet: www.hpw.qld.gov.au</w:t>
      </w:r>
    </w:p>
    <w:p w14:paraId="77FEB3C5"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 xml:space="preserve"> </w:t>
      </w:r>
    </w:p>
    <w:p w14:paraId="01437C24" w14:textId="77777777" w:rsidR="0081617D" w:rsidRPr="00FC4067" w:rsidRDefault="0081617D" w:rsidP="00CF0A4C">
      <w:pPr>
        <w:pStyle w:val="Officelocationsheadings"/>
        <w:rPr>
          <w:rStyle w:val="bold0"/>
          <w:rFonts w:ascii="Arial" w:hAnsi="Arial" w:cstheme="minorBidi"/>
          <w:color w:val="000000" w:themeColor="text1"/>
        </w:rPr>
      </w:pPr>
      <w:r w:rsidRPr="00FC4067">
        <w:rPr>
          <w:rStyle w:val="bold0"/>
          <w:rFonts w:ascii="Arial" w:hAnsi="Arial" w:cstheme="minorBidi"/>
          <w:color w:val="000000" w:themeColor="text1"/>
        </w:rPr>
        <w:t>Government Employee Housing</w:t>
      </w:r>
    </w:p>
    <w:p w14:paraId="14FE1007"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Head Office</w:t>
      </w:r>
    </w:p>
    <w:p w14:paraId="71B990B1" w14:textId="75D83351"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 xml:space="preserve">Level </w:t>
      </w:r>
      <w:r w:rsidR="00891EDA" w:rsidRPr="00FC4067">
        <w:rPr>
          <w:rStyle w:val="bold0"/>
          <w:rFonts w:ascii="Arial" w:hAnsi="Arial" w:cstheme="minorBidi"/>
          <w:color w:val="000000" w:themeColor="text1"/>
        </w:rPr>
        <w:t>6</w:t>
      </w:r>
      <w:r w:rsidRPr="00FC4067">
        <w:rPr>
          <w:rStyle w:val="bold0"/>
          <w:rFonts w:ascii="Arial" w:hAnsi="Arial" w:cstheme="minorBidi"/>
          <w:color w:val="000000" w:themeColor="text1"/>
        </w:rPr>
        <w:t xml:space="preserve">, </w:t>
      </w:r>
      <w:r w:rsidR="00891EDA" w:rsidRPr="00FC4067">
        <w:rPr>
          <w:rStyle w:val="bold0"/>
          <w:rFonts w:ascii="Arial" w:hAnsi="Arial" w:cstheme="minorBidi"/>
          <w:color w:val="000000" w:themeColor="text1"/>
        </w:rPr>
        <w:t>60 Albert</w:t>
      </w:r>
      <w:r w:rsidRPr="00FC4067">
        <w:rPr>
          <w:rStyle w:val="bold0"/>
          <w:rFonts w:ascii="Arial" w:hAnsi="Arial" w:cstheme="minorBidi"/>
          <w:color w:val="000000" w:themeColor="text1"/>
        </w:rPr>
        <w:t xml:space="preserve"> Street</w:t>
      </w:r>
    </w:p>
    <w:p w14:paraId="76F0CBD3"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GPO Box 2457</w:t>
      </w:r>
    </w:p>
    <w:p w14:paraId="0EC84714"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lastRenderedPageBreak/>
        <w:t>Brisbane Qld 4001</w:t>
      </w:r>
    </w:p>
    <w:p w14:paraId="345B939F"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Phone: 07 3008 2722</w:t>
      </w:r>
    </w:p>
    <w:p w14:paraId="383B0DEF"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Fax: 07 3224 5824</w:t>
      </w:r>
    </w:p>
    <w:p w14:paraId="4C925520"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 xml:space="preserve">Email: governmentemployeehousing@hpw.qld.gov.au </w:t>
      </w:r>
    </w:p>
    <w:p w14:paraId="24D89B85"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Internet: www.hpw.qld.gov.au</w:t>
      </w:r>
    </w:p>
    <w:p w14:paraId="24D31090" w14:textId="77777777" w:rsidR="0081617D" w:rsidRPr="00FC4067" w:rsidRDefault="0081617D" w:rsidP="00CF0A4C">
      <w:pPr>
        <w:pStyle w:val="Officelocationstyle"/>
        <w:rPr>
          <w:rStyle w:val="bold0"/>
          <w:rFonts w:ascii="Arial" w:hAnsi="Arial" w:cstheme="minorBidi"/>
          <w:color w:val="000000" w:themeColor="text1"/>
        </w:rPr>
      </w:pPr>
    </w:p>
    <w:p w14:paraId="502F3695" w14:textId="1F1DB7B2" w:rsidR="0081617D" w:rsidRPr="00FC4067" w:rsidRDefault="00792857" w:rsidP="00CF0A4C">
      <w:pPr>
        <w:pStyle w:val="Officelocationsheadings"/>
        <w:rPr>
          <w:rStyle w:val="bold0"/>
          <w:rFonts w:ascii="Arial" w:hAnsi="Arial" w:cstheme="minorBidi"/>
          <w:color w:val="000000" w:themeColor="text1"/>
        </w:rPr>
      </w:pPr>
      <w:r w:rsidRPr="00FC4067">
        <w:rPr>
          <w:rStyle w:val="bold0"/>
          <w:rFonts w:ascii="Arial" w:hAnsi="Arial" w:cstheme="minorBidi"/>
          <w:color w:val="000000" w:themeColor="text1"/>
        </w:rPr>
        <w:t xml:space="preserve">Queensland Government </w:t>
      </w:r>
      <w:r w:rsidR="006B5707" w:rsidRPr="00FC4067">
        <w:rPr>
          <w:rStyle w:val="bold0"/>
          <w:rFonts w:ascii="Arial" w:hAnsi="Arial" w:cstheme="minorBidi"/>
          <w:color w:val="000000" w:themeColor="text1"/>
        </w:rPr>
        <w:t>Procurement</w:t>
      </w:r>
    </w:p>
    <w:p w14:paraId="41E1BA78" w14:textId="77777777" w:rsidR="00820FF4" w:rsidRPr="00FC4067" w:rsidRDefault="00820FF4" w:rsidP="00820FF4">
      <w:pPr>
        <w:pStyle w:val="Officelocationstyle"/>
        <w:rPr>
          <w:rStyle w:val="bold0"/>
          <w:rFonts w:ascii="Arial" w:hAnsi="Arial" w:cstheme="minorBidi"/>
          <w:b/>
          <w:color w:val="000000" w:themeColor="text1"/>
        </w:rPr>
      </w:pPr>
      <w:r w:rsidRPr="00FC4067">
        <w:rPr>
          <w:rStyle w:val="bold0"/>
          <w:rFonts w:ascii="Arial" w:hAnsi="Arial" w:cstheme="minorBidi"/>
          <w:color w:val="000000" w:themeColor="text1"/>
        </w:rPr>
        <w:t>Level 2, 60 Albert Street</w:t>
      </w:r>
    </w:p>
    <w:p w14:paraId="4C205D8A"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GPO Box 123</w:t>
      </w:r>
    </w:p>
    <w:p w14:paraId="10B145E3"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Brisbane Qld 4001</w:t>
      </w:r>
    </w:p>
    <w:p w14:paraId="7BD2C544"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Phone: 13 QGOV (13 74 68)</w:t>
      </w:r>
    </w:p>
    <w:p w14:paraId="5FE6BD8F"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Email: QGP–BetterProcurement@hpw.qld.gov.au</w:t>
      </w:r>
    </w:p>
    <w:p w14:paraId="3202FA88"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Internet: www.hpw.qld.gov.au</w:t>
      </w:r>
    </w:p>
    <w:p w14:paraId="3751F63E" w14:textId="77777777" w:rsidR="0081617D" w:rsidRPr="00FC4067" w:rsidRDefault="0081617D" w:rsidP="00CF0A4C">
      <w:pPr>
        <w:pStyle w:val="Officelocationstyle"/>
        <w:rPr>
          <w:rStyle w:val="bold0"/>
          <w:rFonts w:ascii="Arial" w:hAnsi="Arial" w:cstheme="minorBidi"/>
          <w:color w:val="000000" w:themeColor="text1"/>
        </w:rPr>
      </w:pPr>
    </w:p>
    <w:p w14:paraId="5E608343" w14:textId="77777777" w:rsidR="0081617D" w:rsidRPr="00FC4067" w:rsidRDefault="0081617D" w:rsidP="00CF0A4C">
      <w:pPr>
        <w:pStyle w:val="Officelocationsheadings"/>
        <w:rPr>
          <w:rStyle w:val="bold0"/>
          <w:rFonts w:ascii="Arial" w:hAnsi="Arial" w:cstheme="minorBidi"/>
          <w:color w:val="000000" w:themeColor="text1"/>
        </w:rPr>
      </w:pPr>
      <w:r w:rsidRPr="00FC4067">
        <w:rPr>
          <w:rStyle w:val="bold0"/>
          <w:rFonts w:ascii="Arial" w:hAnsi="Arial" w:cstheme="minorBidi"/>
          <w:color w:val="000000" w:themeColor="text1"/>
        </w:rPr>
        <w:t>Regulatory Services (formerly Office of the Registrar)</w:t>
      </w:r>
    </w:p>
    <w:p w14:paraId="379879E8" w14:textId="25091BA4"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 xml:space="preserve">Level </w:t>
      </w:r>
      <w:r w:rsidR="009E77AF" w:rsidRPr="00FC4067">
        <w:rPr>
          <w:rStyle w:val="bold0"/>
          <w:rFonts w:ascii="Arial" w:hAnsi="Arial" w:cstheme="minorBidi"/>
          <w:color w:val="000000" w:themeColor="text1"/>
        </w:rPr>
        <w:t>19</w:t>
      </w:r>
      <w:r w:rsidRPr="00FC4067">
        <w:rPr>
          <w:rStyle w:val="bold0"/>
          <w:rFonts w:ascii="Arial" w:hAnsi="Arial" w:cstheme="minorBidi"/>
          <w:color w:val="000000" w:themeColor="text1"/>
        </w:rPr>
        <w:t xml:space="preserve">, </w:t>
      </w:r>
      <w:r w:rsidR="009E77AF" w:rsidRPr="00FC4067">
        <w:rPr>
          <w:rStyle w:val="bold0"/>
          <w:rFonts w:ascii="Arial" w:hAnsi="Arial" w:cstheme="minorBidi"/>
          <w:color w:val="000000" w:themeColor="text1"/>
        </w:rPr>
        <w:t>41</w:t>
      </w:r>
      <w:r w:rsidRPr="00FC4067">
        <w:rPr>
          <w:rStyle w:val="bold0"/>
          <w:rFonts w:ascii="Arial" w:hAnsi="Arial" w:cstheme="minorBidi"/>
          <w:color w:val="000000" w:themeColor="text1"/>
        </w:rPr>
        <w:t xml:space="preserve"> George Street</w:t>
      </w:r>
    </w:p>
    <w:p w14:paraId="6F898794"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GPO Box 690</w:t>
      </w:r>
    </w:p>
    <w:p w14:paraId="0A2331DA"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Brisbane Qld 4001</w:t>
      </w:r>
    </w:p>
    <w:p w14:paraId="033C400E"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Phone: 13 QGOV (13 74 68)</w:t>
      </w:r>
    </w:p>
    <w:p w14:paraId="397213FB" w14:textId="76DEF33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 xml:space="preserve">Email: </w:t>
      </w:r>
      <w:r w:rsidR="001B531D" w:rsidRPr="00FC4067">
        <w:rPr>
          <w:rStyle w:val="bold0"/>
          <w:rFonts w:ascii="Arial" w:hAnsi="Arial" w:cstheme="minorBidi"/>
          <w:color w:val="000000" w:themeColor="text1"/>
        </w:rPr>
        <w:t>QLDHousing</w:t>
      </w:r>
      <w:r w:rsidR="00070B2E" w:rsidRPr="00FC4067">
        <w:rPr>
          <w:rStyle w:val="bold0"/>
          <w:rFonts w:ascii="Arial" w:hAnsi="Arial" w:cstheme="minorBidi"/>
          <w:color w:val="000000" w:themeColor="text1"/>
        </w:rPr>
        <w:t>R</w:t>
      </w:r>
      <w:r w:rsidRPr="00FC4067">
        <w:rPr>
          <w:rStyle w:val="bold0"/>
          <w:rFonts w:ascii="Arial" w:hAnsi="Arial" w:cstheme="minorBidi"/>
          <w:color w:val="000000" w:themeColor="text1"/>
        </w:rPr>
        <w:t>egistrar@h</w:t>
      </w:r>
      <w:r w:rsidR="00070B2E" w:rsidRPr="00FC4067">
        <w:rPr>
          <w:rStyle w:val="bold0"/>
          <w:rFonts w:ascii="Arial" w:hAnsi="Arial" w:cstheme="minorBidi"/>
          <w:color w:val="000000" w:themeColor="text1"/>
        </w:rPr>
        <w:t>pw</w:t>
      </w:r>
      <w:r w:rsidRPr="00FC4067">
        <w:rPr>
          <w:rStyle w:val="bold0"/>
          <w:rFonts w:ascii="Arial" w:hAnsi="Arial" w:cstheme="minorBidi"/>
          <w:color w:val="000000" w:themeColor="text1"/>
        </w:rPr>
        <w:t>.qld.gov.au</w:t>
      </w:r>
    </w:p>
    <w:p w14:paraId="6875552E" w14:textId="77777777" w:rsidR="0081617D"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Email: residentialservices@hpw.qld.gov.au</w:t>
      </w:r>
    </w:p>
    <w:p w14:paraId="7851C41D" w14:textId="76AA91F6" w:rsidR="00792857" w:rsidRPr="00FC4067" w:rsidRDefault="0081617D" w:rsidP="00CF0A4C">
      <w:pPr>
        <w:pStyle w:val="Officelocationstyle"/>
        <w:rPr>
          <w:rStyle w:val="bold0"/>
          <w:rFonts w:ascii="Arial" w:hAnsi="Arial" w:cstheme="minorBidi"/>
          <w:color w:val="000000" w:themeColor="text1"/>
        </w:rPr>
      </w:pPr>
      <w:r w:rsidRPr="00FC4067">
        <w:rPr>
          <w:rStyle w:val="bold0"/>
          <w:rFonts w:ascii="Arial" w:hAnsi="Arial" w:cstheme="minorBidi"/>
          <w:color w:val="000000" w:themeColor="text1"/>
        </w:rPr>
        <w:t>Internet: hpw.qld.gov.au</w:t>
      </w:r>
      <w:r w:rsidR="00696333" w:rsidRPr="00FC4067">
        <w:rPr>
          <w:rStyle w:val="bold0"/>
          <w:rFonts w:ascii="Arial" w:hAnsi="Arial" w:cstheme="minorBidi"/>
          <w:color w:val="000000" w:themeColor="text1"/>
        </w:rPr>
        <w:t>/aboutus/BusinessAreas</w:t>
      </w:r>
      <w:r w:rsidR="008F641E" w:rsidRPr="00FC4067">
        <w:rPr>
          <w:rStyle w:val="bold0"/>
          <w:rFonts w:ascii="Arial" w:hAnsi="Arial" w:cstheme="minorBidi"/>
          <w:color w:val="000000" w:themeColor="text1"/>
        </w:rPr>
        <w:t>/RegulatoryServices/Pages/default.aspx</w:t>
      </w:r>
    </w:p>
    <w:p w14:paraId="16109FF7" w14:textId="77777777" w:rsidR="00792857" w:rsidRPr="00FC4067" w:rsidRDefault="00792857" w:rsidP="00CF0A4C">
      <w:pPr>
        <w:rPr>
          <w:rStyle w:val="bold0"/>
          <w:rFonts w:ascii="Arial" w:hAnsi="Arial" w:cstheme="minorBidi"/>
        </w:rPr>
      </w:pPr>
      <w:r w:rsidRPr="00FC4067">
        <w:rPr>
          <w:rStyle w:val="bold0"/>
          <w:rFonts w:ascii="Arial" w:hAnsi="Arial" w:cstheme="minorBidi"/>
        </w:rPr>
        <w:br w:type="page"/>
      </w:r>
    </w:p>
    <w:p w14:paraId="21738B89" w14:textId="64A9AA40" w:rsidR="0081617D" w:rsidRPr="00FC4067" w:rsidRDefault="0081617D" w:rsidP="005D3ADE">
      <w:pPr>
        <w:pStyle w:val="Heading1"/>
      </w:pPr>
      <w:bookmarkStart w:id="115" w:name="_Toc464823693"/>
      <w:bookmarkStart w:id="116" w:name="_Toc494984657"/>
      <w:r w:rsidRPr="00FC4067">
        <w:lastRenderedPageBreak/>
        <w:t>Glossary of Terms</w:t>
      </w:r>
      <w:bookmarkEnd w:id="115"/>
      <w:bookmarkEnd w:id="116"/>
    </w:p>
    <w:p w14:paraId="68BCCB2D" w14:textId="49834BEB"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AFL</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Australian Football League</w:t>
      </w:r>
    </w:p>
    <w:p w14:paraId="2DCB7755" w14:textId="06A035BE"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AS/NZS</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Australia/New Zealand Standard</w:t>
      </w:r>
    </w:p>
    <w:p w14:paraId="71ADC6A0" w14:textId="2B49E3C2"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AO</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Administration Officer</w:t>
      </w:r>
    </w:p>
    <w:p w14:paraId="32A9E4A8" w14:textId="74962423"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 xml:space="preserve">FTE </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Full Time Equivalent</w:t>
      </w:r>
    </w:p>
    <w:p w14:paraId="3AB5D6AD" w14:textId="10A7D8A3"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GPO</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General Post Office</w:t>
      </w:r>
    </w:p>
    <w:p w14:paraId="6CF975EC" w14:textId="4A8E3739"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 xml:space="preserve">ICT </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Information Communication Technology</w:t>
      </w:r>
    </w:p>
    <w:p w14:paraId="392DDF16" w14:textId="77777777"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MOHRI FTE</w:t>
      </w:r>
      <w:r w:rsidRPr="00FC4067">
        <w:rPr>
          <w:rStyle w:val="bold0"/>
          <w:rFonts w:asciiTheme="minorHAnsi" w:hAnsiTheme="minorHAnsi" w:cs="MetaNormalLF-Roman"/>
        </w:rPr>
        <w:tab/>
        <w:t>Minimum Obligatory Human Resources Information Full Time Equivalent</w:t>
      </w:r>
    </w:p>
    <w:p w14:paraId="2FD42EAD" w14:textId="7FAA5137"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NAIDOC</w:t>
      </w:r>
      <w:r w:rsidRPr="00FC4067">
        <w:rPr>
          <w:rStyle w:val="bold0"/>
          <w:rFonts w:asciiTheme="minorHAnsi" w:hAnsiTheme="minorHAnsi" w:cs="MetaNormalLF-Roman"/>
        </w:rPr>
        <w:tab/>
        <w:t>National Aboriginal and Island</w:t>
      </w:r>
      <w:r w:rsidR="00E12C8E">
        <w:rPr>
          <w:rStyle w:val="bold0"/>
          <w:rFonts w:asciiTheme="minorHAnsi" w:hAnsiTheme="minorHAnsi" w:cs="MetaNormalLF-Roman"/>
        </w:rPr>
        <w:t>ers’</w:t>
      </w:r>
      <w:r w:rsidRPr="00FC4067">
        <w:rPr>
          <w:rStyle w:val="bold0"/>
          <w:rFonts w:asciiTheme="minorHAnsi" w:hAnsiTheme="minorHAnsi" w:cs="MetaNormalLF-Roman"/>
        </w:rPr>
        <w:t xml:space="preserve"> Day Observance Committee</w:t>
      </w:r>
    </w:p>
    <w:p w14:paraId="7A0F7AF6" w14:textId="0470C964"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 xml:space="preserve">QG </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Queensland Government</w:t>
      </w:r>
    </w:p>
    <w:p w14:paraId="3EED2096" w14:textId="6359B5D4" w:rsidR="0081617D" w:rsidRPr="00FC4067" w:rsidRDefault="0081617D" w:rsidP="00CF0A4C">
      <w:pPr>
        <w:rPr>
          <w:rStyle w:val="bold0"/>
          <w:rFonts w:asciiTheme="minorHAnsi" w:hAnsiTheme="minorHAnsi" w:cs="MetaNormalLF-Roman"/>
        </w:rPr>
      </w:pPr>
      <w:r w:rsidRPr="00FC4067">
        <w:rPr>
          <w:rStyle w:val="bold0"/>
          <w:rFonts w:asciiTheme="minorHAnsi" w:hAnsiTheme="minorHAnsi" w:cs="MetaNormalLF-Roman"/>
        </w:rPr>
        <w:t>NRL</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National Rugby League</w:t>
      </w:r>
    </w:p>
    <w:p w14:paraId="2A07DFA7" w14:textId="338AAF22" w:rsidR="0081617D" w:rsidRPr="00FC4067" w:rsidRDefault="0081617D" w:rsidP="00CF0A4C">
      <w:r w:rsidRPr="00FC4067">
        <w:rPr>
          <w:rStyle w:val="bold0"/>
          <w:rFonts w:asciiTheme="minorHAnsi" w:hAnsiTheme="minorHAnsi" w:cs="MetaNormalLF-Roman"/>
        </w:rPr>
        <w:t>QGOV</w:t>
      </w:r>
      <w:r w:rsidRPr="00FC4067">
        <w:rPr>
          <w:rStyle w:val="bold0"/>
          <w:rFonts w:asciiTheme="minorHAnsi" w:hAnsiTheme="minorHAnsi" w:cs="MetaNormalLF-Roman"/>
        </w:rPr>
        <w:tab/>
      </w:r>
      <w:r w:rsidR="001732F0" w:rsidRPr="00FC4067">
        <w:rPr>
          <w:rStyle w:val="bold0"/>
          <w:rFonts w:asciiTheme="minorHAnsi" w:hAnsiTheme="minorHAnsi" w:cs="MetaNormalLF-Roman"/>
        </w:rPr>
        <w:tab/>
      </w:r>
      <w:r w:rsidRPr="00FC4067">
        <w:rPr>
          <w:rStyle w:val="bold0"/>
          <w:rFonts w:asciiTheme="minorHAnsi" w:hAnsiTheme="minorHAnsi" w:cs="MetaNormalLF-Roman"/>
        </w:rPr>
        <w:t>Queensland Government</w:t>
      </w:r>
    </w:p>
    <w:p w14:paraId="44971340" w14:textId="25941370" w:rsidR="0081617D" w:rsidRPr="00FC4067" w:rsidRDefault="0081617D" w:rsidP="00CF0A4C"/>
    <w:p w14:paraId="33F0103C" w14:textId="77777777" w:rsidR="001C3B67" w:rsidRPr="00FC4067" w:rsidRDefault="001C3B67" w:rsidP="00CF0A4C">
      <w:pPr>
        <w:sectPr w:rsidR="001C3B67" w:rsidRPr="00FC4067" w:rsidSect="007B64A6">
          <w:type w:val="continuous"/>
          <w:pgSz w:w="11906" w:h="16838"/>
          <w:pgMar w:top="1440" w:right="1021" w:bottom="1440" w:left="1021" w:header="709" w:footer="709" w:gutter="0"/>
          <w:cols w:space="708"/>
          <w:docGrid w:linePitch="360"/>
        </w:sectPr>
      </w:pPr>
    </w:p>
    <w:p w14:paraId="6166368A" w14:textId="40DFE39E" w:rsidR="001C3B67" w:rsidRPr="00FC4067" w:rsidRDefault="001C3B67" w:rsidP="001C3B67">
      <w:pPr>
        <w:pStyle w:val="BodyText"/>
        <w:spacing w:before="87" w:line="271" w:lineRule="auto"/>
        <w:ind w:left="133" w:right="126" w:hanging="4"/>
      </w:pPr>
    </w:p>
    <w:p w14:paraId="273E7BC1" w14:textId="3ACECF79" w:rsidR="001C3B67" w:rsidRPr="00FC4067" w:rsidRDefault="001C3B67" w:rsidP="005D3ADE">
      <w:pPr>
        <w:pStyle w:val="Heading1"/>
      </w:pPr>
      <w:bookmarkStart w:id="117" w:name="_Toc494984658"/>
      <w:r w:rsidRPr="00FC4067">
        <w:t>Financial Statements</w:t>
      </w:r>
      <w:bookmarkEnd w:id="117"/>
    </w:p>
    <w:p w14:paraId="5C2F06D3" w14:textId="77777777" w:rsidR="00895ACC" w:rsidRPr="00096C6C" w:rsidRDefault="00895ACC" w:rsidP="00792F33">
      <w:pPr>
        <w:pStyle w:val="Heading3"/>
      </w:pPr>
      <w:r w:rsidRPr="00096C6C">
        <w:t>for the financial year ended 30 June 2017</w:t>
      </w:r>
    </w:p>
    <w:p w14:paraId="3F6F746A" w14:textId="77777777" w:rsidR="00895ACC" w:rsidRPr="00CF5D64" w:rsidRDefault="00895ACC" w:rsidP="00895ACC">
      <w:pPr>
        <w:pStyle w:val="BodyText"/>
        <w:tabs>
          <w:tab w:val="right" w:pos="11047"/>
        </w:tabs>
        <w:spacing w:before="243"/>
        <w:ind w:left="0"/>
        <w:rPr>
          <w:rFonts w:cs="Arial"/>
        </w:rPr>
      </w:pPr>
      <w:r w:rsidRPr="00CF5D64">
        <w:rPr>
          <w:color w:val="414042"/>
        </w:rPr>
        <w:t>Financial Summary</w:t>
      </w:r>
      <w:r w:rsidRPr="00CF5D64">
        <w:rPr>
          <w:color w:val="414042"/>
        </w:rPr>
        <w:tab/>
        <w:t>xx</w:t>
      </w:r>
    </w:p>
    <w:p w14:paraId="31D1CDB1" w14:textId="77777777" w:rsidR="00895ACC" w:rsidRPr="00CF5D64" w:rsidRDefault="00895ACC" w:rsidP="00895ACC">
      <w:pPr>
        <w:pStyle w:val="BodyText"/>
        <w:tabs>
          <w:tab w:val="right" w:pos="11047"/>
        </w:tabs>
        <w:spacing w:before="258"/>
        <w:ind w:left="0"/>
        <w:rPr>
          <w:rFonts w:cs="Arial"/>
        </w:rPr>
      </w:pPr>
      <w:r w:rsidRPr="00CF5D64">
        <w:rPr>
          <w:color w:val="414042"/>
        </w:rPr>
        <w:t>Statement of Comprehensive Income</w:t>
      </w:r>
      <w:r w:rsidRPr="00CF5D64">
        <w:rPr>
          <w:color w:val="414042"/>
        </w:rPr>
        <w:tab/>
        <w:t>xx</w:t>
      </w:r>
    </w:p>
    <w:p w14:paraId="58CCC834" w14:textId="77777777" w:rsidR="00895ACC" w:rsidRPr="00CF5D64" w:rsidRDefault="00895ACC" w:rsidP="00895ACC">
      <w:pPr>
        <w:pStyle w:val="BodyText"/>
        <w:tabs>
          <w:tab w:val="right" w:pos="11046"/>
        </w:tabs>
        <w:spacing w:before="258"/>
        <w:ind w:left="0"/>
        <w:rPr>
          <w:rFonts w:cs="Arial"/>
        </w:rPr>
      </w:pPr>
      <w:r w:rsidRPr="00CF5D64">
        <w:rPr>
          <w:color w:val="414042"/>
        </w:rPr>
        <w:t>Balance Sheet</w:t>
      </w:r>
      <w:r w:rsidRPr="00CF5D64">
        <w:rPr>
          <w:color w:val="414042"/>
        </w:rPr>
        <w:tab/>
        <w:t>xx</w:t>
      </w:r>
    </w:p>
    <w:p w14:paraId="432968FA" w14:textId="77777777" w:rsidR="00895ACC" w:rsidRPr="00CF5D64" w:rsidRDefault="00895ACC" w:rsidP="00895ACC">
      <w:pPr>
        <w:pStyle w:val="BodyText"/>
        <w:tabs>
          <w:tab w:val="right" w:pos="11047"/>
        </w:tabs>
        <w:spacing w:before="258"/>
        <w:ind w:left="0"/>
        <w:rPr>
          <w:rFonts w:cs="Arial"/>
        </w:rPr>
      </w:pPr>
      <w:r w:rsidRPr="00CF5D64">
        <w:rPr>
          <w:color w:val="414042"/>
        </w:rPr>
        <w:t>Introduction to Financial Statements</w:t>
      </w:r>
      <w:r w:rsidRPr="00CF5D64">
        <w:rPr>
          <w:color w:val="414042"/>
        </w:rPr>
        <w:tab/>
        <w:t>xx</w:t>
      </w:r>
    </w:p>
    <w:p w14:paraId="26AD22DA" w14:textId="77777777" w:rsidR="00895ACC" w:rsidRPr="00CF5D64" w:rsidRDefault="00895ACC" w:rsidP="00895ACC">
      <w:pPr>
        <w:pStyle w:val="BodyText"/>
        <w:tabs>
          <w:tab w:val="right" w:pos="11046"/>
        </w:tabs>
        <w:spacing w:before="258"/>
        <w:ind w:left="0"/>
        <w:rPr>
          <w:rFonts w:cs="Arial"/>
        </w:rPr>
      </w:pPr>
      <w:r w:rsidRPr="00CF5D64">
        <w:rPr>
          <w:rFonts w:cs="Arial"/>
          <w:color w:val="414042"/>
        </w:rPr>
        <w:t>Financial Statements 2016–17</w:t>
      </w:r>
      <w:r w:rsidRPr="00CF5D64">
        <w:rPr>
          <w:rFonts w:cs="Arial"/>
          <w:color w:val="414042"/>
        </w:rPr>
        <w:tab/>
        <w:t>xx</w:t>
      </w:r>
    </w:p>
    <w:p w14:paraId="5B1ECB7A" w14:textId="77777777" w:rsidR="00895ACC" w:rsidRPr="00CF5D64" w:rsidRDefault="00895ACC" w:rsidP="00895ACC">
      <w:pPr>
        <w:pStyle w:val="BodyText"/>
        <w:tabs>
          <w:tab w:val="right" w:pos="11046"/>
        </w:tabs>
        <w:spacing w:before="258"/>
        <w:ind w:left="0"/>
        <w:rPr>
          <w:rFonts w:cs="Arial"/>
        </w:rPr>
      </w:pPr>
      <w:r w:rsidRPr="00CF5D64">
        <w:rPr>
          <w:color w:val="414042"/>
        </w:rPr>
        <w:t>Management Certi</w:t>
      </w:r>
      <w:r w:rsidRPr="00CF5D64">
        <w:rPr>
          <w:color w:val="414042"/>
          <w:w w:val="95"/>
        </w:rPr>
        <w:t>fi</w:t>
      </w:r>
      <w:r w:rsidRPr="00CF5D64">
        <w:rPr>
          <w:color w:val="414042"/>
        </w:rPr>
        <w:t>cate</w:t>
      </w:r>
      <w:r w:rsidRPr="00CF5D64">
        <w:rPr>
          <w:color w:val="414042"/>
        </w:rPr>
        <w:tab/>
        <w:t>xxx</w:t>
      </w:r>
    </w:p>
    <w:p w14:paraId="4770EFB2" w14:textId="77777777" w:rsidR="00895ACC" w:rsidRPr="00CF5D64" w:rsidRDefault="00895ACC" w:rsidP="00895ACC">
      <w:pPr>
        <w:pStyle w:val="BodyText"/>
        <w:tabs>
          <w:tab w:val="right" w:pos="11046"/>
        </w:tabs>
        <w:spacing w:before="258"/>
        <w:ind w:left="0"/>
        <w:rPr>
          <w:rFonts w:cs="Arial"/>
        </w:rPr>
      </w:pPr>
      <w:r w:rsidRPr="00CF5D64">
        <w:rPr>
          <w:rFonts w:cs="Arial"/>
          <w:color w:val="414042"/>
        </w:rPr>
        <w:t>Independent Auditor’s Report</w:t>
      </w:r>
      <w:r w:rsidRPr="00CF5D64">
        <w:rPr>
          <w:rFonts w:cs="Arial"/>
          <w:color w:val="414042"/>
        </w:rPr>
        <w:tab/>
        <w:t>xxx</w:t>
      </w:r>
    </w:p>
    <w:p w14:paraId="52A85A7A" w14:textId="77777777" w:rsidR="00895ACC" w:rsidRPr="00CF5D64" w:rsidRDefault="00895ACC" w:rsidP="00895ACC">
      <w:pPr>
        <w:ind w:firstLine="6219"/>
        <w:rPr>
          <w:rFonts w:eastAsia="Arial" w:cs="Arial"/>
        </w:rPr>
        <w:sectPr w:rsidR="00895ACC" w:rsidRPr="00CF5D64" w:rsidSect="00895ACC">
          <w:footerReference w:type="even" r:id="rId53"/>
          <w:footerReference w:type="default" r:id="rId54"/>
          <w:pgSz w:w="11910" w:h="16840"/>
          <w:pgMar w:top="1440" w:right="1021" w:bottom="1440" w:left="1021" w:header="0" w:footer="584" w:gutter="0"/>
          <w:cols w:space="720"/>
        </w:sectPr>
      </w:pPr>
    </w:p>
    <w:p w14:paraId="7596D5C1" w14:textId="72F1F92C" w:rsidR="00895ACC" w:rsidRPr="00096C6C" w:rsidRDefault="00096C6C" w:rsidP="0004270E">
      <w:pPr>
        <w:pStyle w:val="Heading2"/>
      </w:pPr>
      <w:bookmarkStart w:id="118" w:name="_Toc494984659"/>
      <w:r w:rsidRPr="00096C6C">
        <w:lastRenderedPageBreak/>
        <w:t>Financial Summary</w:t>
      </w:r>
      <w:bookmarkEnd w:id="118"/>
    </w:p>
    <w:p w14:paraId="0158A19E" w14:textId="77777777" w:rsidR="00895ACC" w:rsidRPr="00CF5D64" w:rsidRDefault="00895ACC" w:rsidP="00895ACC">
      <w:pPr>
        <w:pStyle w:val="BodyText"/>
        <w:spacing w:before="222"/>
        <w:ind w:left="0"/>
      </w:pPr>
      <w:r w:rsidRPr="00CF5D64">
        <w:rPr>
          <w:color w:val="414042"/>
        </w:rPr>
        <w:t>As at 30 June 2017 the department comprised the</w:t>
      </w:r>
      <w:r w:rsidRPr="00CF5D64">
        <w:rPr>
          <w:color w:val="414042"/>
          <w:w w:val="95"/>
        </w:rPr>
        <w:t xml:space="preserve"> </w:t>
      </w:r>
      <w:r w:rsidRPr="00CF5D64">
        <w:rPr>
          <w:color w:val="414042"/>
        </w:rPr>
        <w:t>departmental entity (including Housing) and two</w:t>
      </w:r>
      <w:r w:rsidRPr="00CF5D64">
        <w:rPr>
          <w:color w:val="414042"/>
          <w:w w:val="95"/>
        </w:rPr>
        <w:t xml:space="preserve"> </w:t>
      </w:r>
      <w:r w:rsidRPr="00CF5D64">
        <w:rPr>
          <w:color w:val="414042"/>
        </w:rPr>
        <w:t>commercialised business units (CBUs) (Building</w:t>
      </w:r>
      <w:r w:rsidRPr="00CF5D64">
        <w:rPr>
          <w:color w:val="414042"/>
          <w:w w:val="94"/>
        </w:rPr>
        <w:t xml:space="preserve"> </w:t>
      </w:r>
      <w:r w:rsidRPr="00CF5D64">
        <w:rPr>
          <w:color w:val="414042"/>
          <w:w w:val="95"/>
        </w:rPr>
        <w:t>and Asset Services, and QFleet).</w:t>
      </w:r>
    </w:p>
    <w:p w14:paraId="403CD615" w14:textId="76BEF41C" w:rsidR="00895ACC" w:rsidRPr="00CF5D64" w:rsidRDefault="00895ACC" w:rsidP="00895ACC">
      <w:pPr>
        <w:pStyle w:val="BodyText"/>
        <w:spacing w:before="87"/>
        <w:ind w:left="0"/>
      </w:pPr>
      <w:r w:rsidRPr="00CF5D64">
        <w:rPr>
          <w:color w:val="414042"/>
        </w:rPr>
        <w:t>A Statement of comprehensive income and a</w:t>
      </w:r>
      <w:r w:rsidRPr="00CF5D64">
        <w:rPr>
          <w:color w:val="414042"/>
          <w:w w:val="93"/>
        </w:rPr>
        <w:t xml:space="preserve"> </w:t>
      </w:r>
      <w:r w:rsidRPr="00CF5D64">
        <w:rPr>
          <w:color w:val="414042"/>
        </w:rPr>
        <w:t xml:space="preserve">Statement of </w:t>
      </w:r>
      <w:r w:rsidRPr="00CF5D64">
        <w:rPr>
          <w:rFonts w:cs="Arial"/>
          <w:color w:val="414042"/>
          <w:w w:val="95"/>
        </w:rPr>
        <w:t>fi</w:t>
      </w:r>
      <w:r w:rsidRPr="00CF5D64">
        <w:rPr>
          <w:color w:val="414042"/>
        </w:rPr>
        <w:t>nancial position for the 2016-17</w:t>
      </w:r>
      <w:r w:rsidRPr="00CF5D64">
        <w:rPr>
          <w:color w:val="414042"/>
          <w:w w:val="98"/>
        </w:rPr>
        <w:t xml:space="preserve"> </w:t>
      </w:r>
      <w:r w:rsidRPr="00CF5D64">
        <w:rPr>
          <w:rFonts w:cs="Arial"/>
          <w:color w:val="414042"/>
          <w:w w:val="95"/>
        </w:rPr>
        <w:t>fi</w:t>
      </w:r>
      <w:r w:rsidRPr="00CF5D64">
        <w:rPr>
          <w:color w:val="414042"/>
        </w:rPr>
        <w:t>nancial year for the department are provided</w:t>
      </w:r>
      <w:r w:rsidRPr="00CF5D64">
        <w:rPr>
          <w:color w:val="414042"/>
          <w:w w:val="97"/>
        </w:rPr>
        <w:t xml:space="preserve"> </w:t>
      </w:r>
      <w:r w:rsidRPr="00CF5D64">
        <w:rPr>
          <w:color w:val="414042"/>
        </w:rPr>
        <w:t>on the following pages with explanations of</w:t>
      </w:r>
      <w:r w:rsidRPr="00CF5D64">
        <w:rPr>
          <w:color w:val="414042"/>
          <w:w w:val="97"/>
        </w:rPr>
        <w:t xml:space="preserve"> </w:t>
      </w:r>
      <w:r w:rsidRPr="00CF5D64">
        <w:rPr>
          <w:color w:val="414042"/>
        </w:rPr>
        <w:t>signi</w:t>
      </w:r>
      <w:r w:rsidRPr="00CF5D64">
        <w:rPr>
          <w:rFonts w:cs="Arial"/>
          <w:color w:val="414042"/>
          <w:w w:val="95"/>
        </w:rPr>
        <w:t>fi</w:t>
      </w:r>
      <w:r w:rsidRPr="00CF5D64">
        <w:rPr>
          <w:color w:val="414042"/>
        </w:rPr>
        <w:t>cant variances from the previous year’s</w:t>
      </w:r>
      <w:r w:rsidRPr="00CF5D64">
        <w:rPr>
          <w:color w:val="414042"/>
          <w:w w:val="94"/>
        </w:rPr>
        <w:t xml:space="preserve"> </w:t>
      </w:r>
      <w:r w:rsidRPr="00CF5D64">
        <w:rPr>
          <w:color w:val="414042"/>
        </w:rPr>
        <w:t>results.</w:t>
      </w:r>
    </w:p>
    <w:p w14:paraId="78EDB97F" w14:textId="77777777" w:rsidR="00895ACC" w:rsidRPr="00CF5D64" w:rsidRDefault="00895ACC" w:rsidP="00895ACC">
      <w:pPr>
        <w:pStyle w:val="BodyText"/>
        <w:spacing w:before="87"/>
        <w:ind w:left="0"/>
      </w:pPr>
      <w:r w:rsidRPr="00CF5D64">
        <w:rPr>
          <w:color w:val="414042"/>
        </w:rPr>
        <w:t>The department obtains the majority of its total income from user charges which comprise $1,654 million or 69.4 percent of the department’s total income of $2,384 million. User charges include:</w:t>
      </w:r>
    </w:p>
    <w:p w14:paraId="52F22895" w14:textId="77777777" w:rsidR="00895ACC" w:rsidRPr="00096C6C" w:rsidRDefault="00895ACC" w:rsidP="00096C6C">
      <w:pPr>
        <w:pStyle w:val="Bullets"/>
      </w:pPr>
      <w:r w:rsidRPr="00096C6C">
        <w:t>rent of government office buildings and employee housing to other departments</w:t>
      </w:r>
    </w:p>
    <w:p w14:paraId="2F0BC840" w14:textId="77777777" w:rsidR="00895ACC" w:rsidRPr="00096C6C" w:rsidRDefault="00895ACC" w:rsidP="00096C6C">
      <w:pPr>
        <w:pStyle w:val="Bullets"/>
      </w:pPr>
      <w:r w:rsidRPr="00096C6C">
        <w:t>rent of social housing</w:t>
      </w:r>
    </w:p>
    <w:p w14:paraId="720E1D35" w14:textId="77777777" w:rsidR="00895ACC" w:rsidRPr="00096C6C" w:rsidRDefault="00895ACC" w:rsidP="00096C6C">
      <w:pPr>
        <w:pStyle w:val="Bullets"/>
      </w:pPr>
      <w:r w:rsidRPr="00096C6C">
        <w:t>building construction and professional consultancy charges</w:t>
      </w:r>
    </w:p>
    <w:p w14:paraId="228371EB" w14:textId="77777777" w:rsidR="00895ACC" w:rsidRPr="00096C6C" w:rsidRDefault="00895ACC" w:rsidP="00096C6C">
      <w:pPr>
        <w:pStyle w:val="Bullets"/>
      </w:pPr>
      <w:r w:rsidRPr="00096C6C">
        <w:t>vehicle leasing.</w:t>
      </w:r>
    </w:p>
    <w:p w14:paraId="5943BD99" w14:textId="27E6F2FA" w:rsidR="00895ACC" w:rsidRPr="00096C6C" w:rsidRDefault="00895ACC" w:rsidP="00096C6C">
      <w:r w:rsidRPr="00096C6C">
        <w:t>The major expense of the department is supplies and services which totals $1,719 million or 66.2 percent of the department’s expenses of $2,598 million. The major supplies and services comprise government building expenses and expenses associated with providing social housing.</w:t>
      </w:r>
    </w:p>
    <w:p w14:paraId="16CD881A" w14:textId="51E1BE09" w:rsidR="00895ACC" w:rsidRPr="00096C6C" w:rsidRDefault="00895ACC" w:rsidP="00096C6C">
      <w:r w:rsidRPr="00096C6C">
        <w:t>The major asset of the department is property, plant and equipment which totals $18,290 million of the department’s total assets of $19,529 million (93.7 percent). The majority of this comprises social housing, commercial properties and the land on which these are situated.</w:t>
      </w:r>
    </w:p>
    <w:p w14:paraId="04387593" w14:textId="42BD7192" w:rsidR="00895ACC" w:rsidRPr="00096C6C" w:rsidRDefault="00895ACC" w:rsidP="00096C6C"/>
    <w:p w14:paraId="6808D950" w14:textId="3D13C3D2" w:rsidR="00895ACC" w:rsidRPr="00096C6C" w:rsidRDefault="00096C6C" w:rsidP="0004270E">
      <w:pPr>
        <w:pStyle w:val="Heading2"/>
      </w:pPr>
      <w:bookmarkStart w:id="119" w:name="_Toc494984660"/>
      <w:r w:rsidRPr="00096C6C">
        <w:t>Statement by the Chief Finance Officer</w:t>
      </w:r>
      <w:bookmarkEnd w:id="119"/>
    </w:p>
    <w:p w14:paraId="3A75CBF6" w14:textId="3468EDD3" w:rsidR="00895ACC" w:rsidRPr="00096C6C" w:rsidRDefault="00895ACC" w:rsidP="00096C6C">
      <w:r w:rsidRPr="00096C6C">
        <w:t xml:space="preserve">In accordance with the requirements of the </w:t>
      </w:r>
      <w:r w:rsidRPr="00096C6C">
        <w:rPr>
          <w:i/>
        </w:rPr>
        <w:t>Financial Accountability Act 2009</w:t>
      </w:r>
      <w:r w:rsidRPr="00096C6C">
        <w:t xml:space="preserve">, the Chief Finance Officer has provided the Director-General with a statement confirming the financial internal controls of the department are operating efficiently, effectively and economically in conformance with Section 57 of the </w:t>
      </w:r>
      <w:r w:rsidRPr="00096C6C">
        <w:rPr>
          <w:i/>
        </w:rPr>
        <w:t>Financial and Performance Management</w:t>
      </w:r>
      <w:r w:rsidR="00096C6C">
        <w:rPr>
          <w:i/>
        </w:rPr>
        <w:t xml:space="preserve"> </w:t>
      </w:r>
      <w:r w:rsidRPr="00096C6C">
        <w:rPr>
          <w:i/>
        </w:rPr>
        <w:t>Standard 2009</w:t>
      </w:r>
      <w:r w:rsidRPr="00096C6C">
        <w:t>. The statement was presented at the Audit Committee meeting in August 2017.</w:t>
      </w:r>
    </w:p>
    <w:p w14:paraId="541E7023" w14:textId="77777777" w:rsidR="00895ACC" w:rsidRPr="00096C6C" w:rsidRDefault="00895ACC" w:rsidP="00096C6C">
      <w:r w:rsidRPr="00096C6C">
        <w:t xml:space="preserve">The Chief Finance Officer has fulfilled the minimum responsibilities as required by the </w:t>
      </w:r>
      <w:r w:rsidRPr="00096C6C">
        <w:rPr>
          <w:i/>
        </w:rPr>
        <w:t>Financial Accountability Act 2009</w:t>
      </w:r>
      <w:r w:rsidRPr="00096C6C">
        <w:t>.</w:t>
      </w:r>
    </w:p>
    <w:p w14:paraId="5AA71538" w14:textId="77777777" w:rsidR="00895ACC" w:rsidRPr="00CF5D64" w:rsidRDefault="00895ACC" w:rsidP="00895ACC">
      <w:pPr>
        <w:spacing w:before="2"/>
        <w:ind w:left="294"/>
        <w:rPr>
          <w:rFonts w:eastAsia="Arial" w:cs="Arial"/>
          <w:i/>
          <w:sz w:val="18"/>
          <w:szCs w:val="18"/>
        </w:rPr>
      </w:pPr>
    </w:p>
    <w:p w14:paraId="56E5E63A" w14:textId="77777777" w:rsidR="00895ACC" w:rsidRPr="00F61FF4" w:rsidRDefault="00895ACC" w:rsidP="00895ACC">
      <w:pPr>
        <w:spacing w:line="249" w:lineRule="auto"/>
        <w:ind w:left="294" w:right="132"/>
        <w:rPr>
          <w:rFonts w:eastAsia="Arial" w:cs="Arial"/>
          <w:sz w:val="20"/>
          <w:szCs w:val="14"/>
        </w:rPr>
      </w:pPr>
      <w:r w:rsidRPr="00F61FF4">
        <w:rPr>
          <w:color w:val="414042"/>
          <w:w w:val="95"/>
          <w:sz w:val="20"/>
        </w:rPr>
        <w:t># Revenue and expenses by Major Departmental Services and Commercialised Business Units</w:t>
      </w:r>
      <w:r w:rsidRPr="00F61FF4">
        <w:rPr>
          <w:color w:val="414042"/>
          <w:w w:val="91"/>
          <w:sz w:val="20"/>
        </w:rPr>
        <w:t xml:space="preserve"> </w:t>
      </w:r>
      <w:r w:rsidRPr="00F61FF4">
        <w:rPr>
          <w:color w:val="414042"/>
          <w:sz w:val="20"/>
        </w:rPr>
        <w:t>do not include internal departmental transaction eliminations which are eliminated in the</w:t>
      </w:r>
      <w:r w:rsidRPr="00F61FF4">
        <w:rPr>
          <w:color w:val="414042"/>
          <w:w w:val="95"/>
          <w:sz w:val="20"/>
        </w:rPr>
        <w:t xml:space="preserve"> Statement of Financial Position.</w:t>
      </w:r>
    </w:p>
    <w:p w14:paraId="4CBE1397" w14:textId="77777777" w:rsidR="00895ACC" w:rsidRPr="00CF5D64" w:rsidRDefault="00895ACC" w:rsidP="00895ACC">
      <w:pPr>
        <w:spacing w:line="249" w:lineRule="auto"/>
        <w:ind w:left="294"/>
        <w:rPr>
          <w:rFonts w:eastAsia="Arial" w:cs="Arial"/>
          <w:sz w:val="14"/>
          <w:szCs w:val="14"/>
        </w:rPr>
        <w:sectPr w:rsidR="00895ACC" w:rsidRPr="00CF5D64" w:rsidSect="00895ACC">
          <w:pgSz w:w="11910" w:h="16840"/>
          <w:pgMar w:top="1463" w:right="743" w:bottom="1463" w:left="720" w:header="0" w:footer="584" w:gutter="0"/>
          <w:cols w:space="720"/>
        </w:sectPr>
      </w:pPr>
    </w:p>
    <w:p w14:paraId="654C9BF9" w14:textId="77777777" w:rsidR="00C14564" w:rsidRPr="00C14564" w:rsidRDefault="00C14564" w:rsidP="00665E01">
      <w:pPr>
        <w:pStyle w:val="Heading3"/>
      </w:pPr>
      <w:r w:rsidRPr="00C14564">
        <w:lastRenderedPageBreak/>
        <w:t>Total income from continuing operations by major departmental services, CBUs and SSPs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75"/>
        <w:gridCol w:w="1162"/>
        <w:gridCol w:w="895"/>
      </w:tblGrid>
      <w:tr w:rsidR="00C14564" w:rsidRPr="00C14564" w14:paraId="77D425E4" w14:textId="77777777" w:rsidTr="00665E01">
        <w:trPr>
          <w:trHeight w:val="255"/>
        </w:trPr>
        <w:tc>
          <w:tcPr>
            <w:tcW w:w="5375" w:type="dxa"/>
            <w:shd w:val="clear" w:color="auto" w:fill="auto"/>
            <w:noWrap/>
            <w:vAlign w:val="bottom"/>
            <w:hideMark/>
          </w:tcPr>
          <w:p w14:paraId="25F68780" w14:textId="77777777" w:rsidR="00C14564" w:rsidRPr="00C14564" w:rsidRDefault="00C14564" w:rsidP="00C14564">
            <w:pPr>
              <w:spacing w:after="0"/>
              <w:jc w:val="center"/>
              <w:rPr>
                <w:rFonts w:eastAsia="Times New Roman" w:cs="Arial"/>
                <w:b/>
                <w:sz w:val="20"/>
                <w:szCs w:val="20"/>
                <w:lang w:eastAsia="en-AU"/>
              </w:rPr>
            </w:pPr>
            <w:r w:rsidRPr="00C14564">
              <w:rPr>
                <w:rFonts w:eastAsia="Times New Roman" w:cs="Arial"/>
                <w:b/>
                <w:sz w:val="20"/>
                <w:szCs w:val="20"/>
                <w:lang w:eastAsia="en-AU"/>
              </w:rPr>
              <w:t>Outputs/Major activities</w:t>
            </w:r>
          </w:p>
        </w:tc>
        <w:tc>
          <w:tcPr>
            <w:tcW w:w="1162" w:type="dxa"/>
            <w:shd w:val="clear" w:color="auto" w:fill="auto"/>
            <w:noWrap/>
            <w:vAlign w:val="bottom"/>
            <w:hideMark/>
          </w:tcPr>
          <w:p w14:paraId="7DB90ED7" w14:textId="77777777" w:rsidR="00C14564" w:rsidRPr="00C14564" w:rsidRDefault="00C14564" w:rsidP="00665E01">
            <w:pPr>
              <w:spacing w:after="0"/>
              <w:jc w:val="right"/>
              <w:rPr>
                <w:rFonts w:eastAsia="Times New Roman" w:cs="Arial"/>
                <w:b/>
                <w:sz w:val="20"/>
                <w:szCs w:val="20"/>
                <w:lang w:eastAsia="en-AU"/>
              </w:rPr>
            </w:pPr>
            <w:r w:rsidRPr="00C14564">
              <w:rPr>
                <w:rFonts w:eastAsia="Times New Roman" w:cs="Arial"/>
                <w:b/>
                <w:sz w:val="20"/>
                <w:szCs w:val="20"/>
                <w:lang w:eastAsia="en-AU"/>
              </w:rPr>
              <w:t>$Millions</w:t>
            </w:r>
          </w:p>
        </w:tc>
        <w:tc>
          <w:tcPr>
            <w:tcW w:w="895" w:type="dxa"/>
            <w:shd w:val="clear" w:color="auto" w:fill="auto"/>
            <w:noWrap/>
            <w:vAlign w:val="bottom"/>
            <w:hideMark/>
          </w:tcPr>
          <w:p w14:paraId="3F7B4A0A" w14:textId="77777777" w:rsidR="00C14564" w:rsidRPr="00C14564" w:rsidRDefault="00C14564" w:rsidP="00665E01">
            <w:pPr>
              <w:spacing w:after="0"/>
              <w:jc w:val="right"/>
              <w:rPr>
                <w:rFonts w:eastAsia="Times New Roman" w:cs="Arial"/>
                <w:b/>
                <w:color w:val="000000"/>
                <w:sz w:val="20"/>
                <w:szCs w:val="20"/>
                <w:lang w:eastAsia="en-AU"/>
              </w:rPr>
            </w:pPr>
            <w:r w:rsidRPr="00C14564">
              <w:rPr>
                <w:rFonts w:eastAsia="Times New Roman" w:cs="Arial"/>
                <w:b/>
                <w:color w:val="000000"/>
                <w:sz w:val="20"/>
                <w:szCs w:val="20"/>
                <w:lang w:eastAsia="en-AU"/>
              </w:rPr>
              <w:t>%</w:t>
            </w:r>
          </w:p>
        </w:tc>
      </w:tr>
      <w:tr w:rsidR="00C14564" w:rsidRPr="00C14564" w14:paraId="43C114FE" w14:textId="77777777" w:rsidTr="00665E01">
        <w:trPr>
          <w:trHeight w:val="255"/>
        </w:trPr>
        <w:tc>
          <w:tcPr>
            <w:tcW w:w="5375" w:type="dxa"/>
            <w:shd w:val="clear" w:color="auto" w:fill="auto"/>
            <w:noWrap/>
            <w:vAlign w:val="bottom"/>
            <w:hideMark/>
          </w:tcPr>
          <w:p w14:paraId="20BE87E1"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Government Accommodation and Building Policy Services</w:t>
            </w:r>
          </w:p>
        </w:tc>
        <w:tc>
          <w:tcPr>
            <w:tcW w:w="1162" w:type="dxa"/>
            <w:shd w:val="clear" w:color="auto" w:fill="auto"/>
            <w:noWrap/>
            <w:vAlign w:val="bottom"/>
            <w:hideMark/>
          </w:tcPr>
          <w:p w14:paraId="486F7384" w14:textId="76227DC5"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753.6 </w:t>
            </w:r>
          </w:p>
        </w:tc>
        <w:tc>
          <w:tcPr>
            <w:tcW w:w="895" w:type="dxa"/>
            <w:shd w:val="clear" w:color="auto" w:fill="auto"/>
            <w:noWrap/>
            <w:vAlign w:val="bottom"/>
            <w:hideMark/>
          </w:tcPr>
          <w:p w14:paraId="76AF724E"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25.5%</w:t>
            </w:r>
          </w:p>
        </w:tc>
      </w:tr>
      <w:tr w:rsidR="00C14564" w:rsidRPr="00C14564" w14:paraId="41B68E42" w14:textId="77777777" w:rsidTr="00665E01">
        <w:trPr>
          <w:trHeight w:val="255"/>
        </w:trPr>
        <w:tc>
          <w:tcPr>
            <w:tcW w:w="5375" w:type="dxa"/>
            <w:shd w:val="clear" w:color="auto" w:fill="auto"/>
            <w:noWrap/>
            <w:vAlign w:val="bottom"/>
            <w:hideMark/>
          </w:tcPr>
          <w:p w14:paraId="614F3B73"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Procurement Services</w:t>
            </w:r>
          </w:p>
        </w:tc>
        <w:tc>
          <w:tcPr>
            <w:tcW w:w="1162" w:type="dxa"/>
            <w:shd w:val="clear" w:color="auto" w:fill="auto"/>
            <w:noWrap/>
            <w:vAlign w:val="bottom"/>
            <w:hideMark/>
          </w:tcPr>
          <w:p w14:paraId="37A88930" w14:textId="1A55F7AE"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13.6 </w:t>
            </w:r>
          </w:p>
        </w:tc>
        <w:tc>
          <w:tcPr>
            <w:tcW w:w="895" w:type="dxa"/>
            <w:shd w:val="clear" w:color="auto" w:fill="auto"/>
            <w:noWrap/>
            <w:vAlign w:val="bottom"/>
            <w:hideMark/>
          </w:tcPr>
          <w:p w14:paraId="57A3CB2E"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0.5%</w:t>
            </w:r>
          </w:p>
        </w:tc>
      </w:tr>
      <w:tr w:rsidR="00C14564" w:rsidRPr="00C14564" w14:paraId="29102519" w14:textId="77777777" w:rsidTr="00665E01">
        <w:trPr>
          <w:trHeight w:val="255"/>
        </w:trPr>
        <w:tc>
          <w:tcPr>
            <w:tcW w:w="5375" w:type="dxa"/>
            <w:shd w:val="clear" w:color="auto" w:fill="auto"/>
            <w:noWrap/>
            <w:vAlign w:val="bottom"/>
            <w:hideMark/>
          </w:tcPr>
          <w:p w14:paraId="137C5F0F"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Housing Services</w:t>
            </w:r>
          </w:p>
        </w:tc>
        <w:tc>
          <w:tcPr>
            <w:tcW w:w="1162" w:type="dxa"/>
            <w:shd w:val="clear" w:color="auto" w:fill="auto"/>
            <w:noWrap/>
            <w:vAlign w:val="bottom"/>
            <w:hideMark/>
          </w:tcPr>
          <w:p w14:paraId="25577733" w14:textId="182BB4CB"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981.3 </w:t>
            </w:r>
          </w:p>
        </w:tc>
        <w:tc>
          <w:tcPr>
            <w:tcW w:w="895" w:type="dxa"/>
            <w:shd w:val="clear" w:color="auto" w:fill="auto"/>
            <w:noWrap/>
            <w:vAlign w:val="bottom"/>
            <w:hideMark/>
          </w:tcPr>
          <w:p w14:paraId="2784B493"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33.3%</w:t>
            </w:r>
          </w:p>
        </w:tc>
      </w:tr>
      <w:tr w:rsidR="00C14564" w:rsidRPr="00C14564" w14:paraId="2DAFDF04" w14:textId="77777777" w:rsidTr="00665E01">
        <w:trPr>
          <w:trHeight w:val="255"/>
        </w:trPr>
        <w:tc>
          <w:tcPr>
            <w:tcW w:w="5375" w:type="dxa"/>
            <w:shd w:val="clear" w:color="auto" w:fill="auto"/>
            <w:noWrap/>
            <w:vAlign w:val="bottom"/>
            <w:hideMark/>
          </w:tcPr>
          <w:p w14:paraId="6B6C04AC"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Building and Asset Services</w:t>
            </w:r>
          </w:p>
        </w:tc>
        <w:tc>
          <w:tcPr>
            <w:tcW w:w="1162" w:type="dxa"/>
            <w:shd w:val="clear" w:color="auto" w:fill="auto"/>
            <w:noWrap/>
            <w:vAlign w:val="bottom"/>
            <w:hideMark/>
          </w:tcPr>
          <w:p w14:paraId="29FC3D76" w14:textId="5DBE4E3E"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980.4 </w:t>
            </w:r>
          </w:p>
        </w:tc>
        <w:tc>
          <w:tcPr>
            <w:tcW w:w="895" w:type="dxa"/>
            <w:shd w:val="clear" w:color="auto" w:fill="auto"/>
            <w:noWrap/>
            <w:vAlign w:val="bottom"/>
            <w:hideMark/>
          </w:tcPr>
          <w:p w14:paraId="4CCE9ED3"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33.3%</w:t>
            </w:r>
          </w:p>
        </w:tc>
      </w:tr>
      <w:tr w:rsidR="00C14564" w:rsidRPr="00C14564" w14:paraId="3C938926" w14:textId="77777777" w:rsidTr="00665E01">
        <w:trPr>
          <w:trHeight w:val="255"/>
        </w:trPr>
        <w:tc>
          <w:tcPr>
            <w:tcW w:w="5375" w:type="dxa"/>
            <w:shd w:val="clear" w:color="auto" w:fill="auto"/>
            <w:noWrap/>
            <w:vAlign w:val="bottom"/>
            <w:hideMark/>
          </w:tcPr>
          <w:p w14:paraId="4F0B788A"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QFleet</w:t>
            </w:r>
          </w:p>
        </w:tc>
        <w:tc>
          <w:tcPr>
            <w:tcW w:w="1162" w:type="dxa"/>
            <w:shd w:val="clear" w:color="auto" w:fill="auto"/>
            <w:noWrap/>
            <w:vAlign w:val="bottom"/>
            <w:hideMark/>
          </w:tcPr>
          <w:p w14:paraId="061C290B" w14:textId="676DACC8"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123.5 </w:t>
            </w:r>
          </w:p>
        </w:tc>
        <w:tc>
          <w:tcPr>
            <w:tcW w:w="895" w:type="dxa"/>
            <w:shd w:val="clear" w:color="auto" w:fill="auto"/>
            <w:noWrap/>
            <w:vAlign w:val="bottom"/>
            <w:hideMark/>
          </w:tcPr>
          <w:p w14:paraId="015F357C"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4.2%</w:t>
            </w:r>
          </w:p>
        </w:tc>
      </w:tr>
      <w:tr w:rsidR="00C14564" w:rsidRPr="00C14564" w14:paraId="3BCDAA87" w14:textId="77777777" w:rsidTr="00665E01">
        <w:trPr>
          <w:trHeight w:val="255"/>
        </w:trPr>
        <w:tc>
          <w:tcPr>
            <w:tcW w:w="5375" w:type="dxa"/>
            <w:shd w:val="clear" w:color="auto" w:fill="auto"/>
            <w:noWrap/>
            <w:vAlign w:val="bottom"/>
            <w:hideMark/>
          </w:tcPr>
          <w:p w14:paraId="03014C01"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General - not attributed</w:t>
            </w:r>
          </w:p>
        </w:tc>
        <w:tc>
          <w:tcPr>
            <w:tcW w:w="1162" w:type="dxa"/>
            <w:shd w:val="clear" w:color="auto" w:fill="auto"/>
            <w:noWrap/>
            <w:vAlign w:val="bottom"/>
            <w:hideMark/>
          </w:tcPr>
          <w:p w14:paraId="63CD6F18" w14:textId="6D98B53A"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95.6 </w:t>
            </w:r>
          </w:p>
        </w:tc>
        <w:tc>
          <w:tcPr>
            <w:tcW w:w="895" w:type="dxa"/>
            <w:shd w:val="clear" w:color="auto" w:fill="auto"/>
            <w:noWrap/>
            <w:vAlign w:val="bottom"/>
            <w:hideMark/>
          </w:tcPr>
          <w:p w14:paraId="5B2BD66B"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3.2%</w:t>
            </w:r>
          </w:p>
        </w:tc>
      </w:tr>
      <w:tr w:rsidR="00C14564" w:rsidRPr="00C14564" w14:paraId="14EBF2B3" w14:textId="77777777" w:rsidTr="00665E01">
        <w:trPr>
          <w:trHeight w:val="255"/>
        </w:trPr>
        <w:tc>
          <w:tcPr>
            <w:tcW w:w="5375" w:type="dxa"/>
            <w:shd w:val="clear" w:color="auto" w:fill="auto"/>
            <w:noWrap/>
            <w:vAlign w:val="bottom"/>
            <w:hideMark/>
          </w:tcPr>
          <w:p w14:paraId="5C13C6D9" w14:textId="77777777" w:rsidR="00C14564" w:rsidRPr="00C14564" w:rsidRDefault="00C14564" w:rsidP="00C14564">
            <w:pPr>
              <w:spacing w:after="0"/>
              <w:rPr>
                <w:rFonts w:eastAsia="Times New Roman" w:cs="Arial"/>
                <w:b/>
                <w:bCs/>
                <w:sz w:val="20"/>
                <w:szCs w:val="20"/>
                <w:lang w:eastAsia="en-AU"/>
              </w:rPr>
            </w:pPr>
            <w:r w:rsidRPr="00C14564">
              <w:rPr>
                <w:rFonts w:eastAsia="Times New Roman" w:cs="Arial"/>
                <w:b/>
                <w:bCs/>
                <w:sz w:val="20"/>
                <w:szCs w:val="20"/>
                <w:lang w:eastAsia="en-AU"/>
              </w:rPr>
              <w:t>Total</w:t>
            </w:r>
          </w:p>
        </w:tc>
        <w:tc>
          <w:tcPr>
            <w:tcW w:w="1162" w:type="dxa"/>
            <w:shd w:val="clear" w:color="auto" w:fill="auto"/>
            <w:noWrap/>
            <w:vAlign w:val="bottom"/>
            <w:hideMark/>
          </w:tcPr>
          <w:p w14:paraId="7DC04972" w14:textId="77777777" w:rsidR="00C14564" w:rsidRPr="00C14564" w:rsidRDefault="00C14564" w:rsidP="00665E01">
            <w:pPr>
              <w:spacing w:after="0"/>
              <w:jc w:val="right"/>
              <w:rPr>
                <w:rFonts w:eastAsia="Times New Roman" w:cs="Arial"/>
                <w:b/>
                <w:bCs/>
                <w:sz w:val="20"/>
                <w:szCs w:val="20"/>
                <w:lang w:eastAsia="en-AU"/>
              </w:rPr>
            </w:pPr>
            <w:r w:rsidRPr="00C14564">
              <w:rPr>
                <w:rFonts w:eastAsia="Times New Roman" w:cs="Arial"/>
                <w:b/>
                <w:bCs/>
                <w:sz w:val="20"/>
                <w:szCs w:val="20"/>
                <w:lang w:eastAsia="en-AU"/>
              </w:rPr>
              <w:t>2,948.1</w:t>
            </w:r>
          </w:p>
        </w:tc>
        <w:tc>
          <w:tcPr>
            <w:tcW w:w="895" w:type="dxa"/>
            <w:shd w:val="clear" w:color="auto" w:fill="auto"/>
            <w:noWrap/>
            <w:vAlign w:val="bottom"/>
            <w:hideMark/>
          </w:tcPr>
          <w:p w14:paraId="54CE99B7" w14:textId="77777777" w:rsidR="00C14564" w:rsidRPr="00C14564" w:rsidRDefault="00C14564" w:rsidP="00665E01">
            <w:pPr>
              <w:spacing w:after="0"/>
              <w:jc w:val="right"/>
              <w:rPr>
                <w:rFonts w:eastAsia="Times New Roman" w:cs="Arial"/>
                <w:b/>
                <w:bCs/>
                <w:color w:val="000000"/>
                <w:sz w:val="20"/>
                <w:szCs w:val="20"/>
                <w:lang w:eastAsia="en-AU"/>
              </w:rPr>
            </w:pPr>
            <w:r w:rsidRPr="00C14564">
              <w:rPr>
                <w:rFonts w:eastAsia="Times New Roman" w:cs="Arial"/>
                <w:b/>
                <w:bCs/>
                <w:color w:val="000000"/>
                <w:sz w:val="20"/>
                <w:szCs w:val="20"/>
                <w:lang w:eastAsia="en-AU"/>
              </w:rPr>
              <w:t>100.0%</w:t>
            </w:r>
          </w:p>
        </w:tc>
      </w:tr>
    </w:tbl>
    <w:p w14:paraId="600C8710" w14:textId="7A1F187A" w:rsidR="00C14564" w:rsidRDefault="00C14564" w:rsidP="00C14564">
      <w:pPr>
        <w:spacing w:after="0"/>
        <w:rPr>
          <w:rFonts w:ascii="Times New Roman" w:eastAsia="Times New Roman" w:hAnsi="Times New Roman" w:cs="Times New Roman"/>
          <w:sz w:val="20"/>
          <w:szCs w:val="20"/>
          <w:lang w:eastAsia="en-AU"/>
        </w:rPr>
      </w:pPr>
    </w:p>
    <w:p w14:paraId="641C7206" w14:textId="77777777" w:rsidR="00C14564" w:rsidRPr="00C14564" w:rsidRDefault="00C14564" w:rsidP="00665E01">
      <w:pPr>
        <w:pStyle w:val="Heading3"/>
      </w:pPr>
      <w:r w:rsidRPr="00C14564">
        <w:t>Total expenses from continuing operations by major departmental services, CBUs and SSPs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75"/>
        <w:gridCol w:w="1162"/>
        <w:gridCol w:w="895"/>
      </w:tblGrid>
      <w:tr w:rsidR="00C14564" w:rsidRPr="00C14564" w14:paraId="52F97930" w14:textId="77777777" w:rsidTr="00665E01">
        <w:trPr>
          <w:trHeight w:val="255"/>
        </w:trPr>
        <w:tc>
          <w:tcPr>
            <w:tcW w:w="5375" w:type="dxa"/>
            <w:shd w:val="clear" w:color="auto" w:fill="auto"/>
            <w:noWrap/>
            <w:vAlign w:val="bottom"/>
            <w:hideMark/>
          </w:tcPr>
          <w:p w14:paraId="7737EE09" w14:textId="77777777" w:rsidR="00C14564" w:rsidRPr="00C14564" w:rsidRDefault="00C14564" w:rsidP="00C14564">
            <w:pPr>
              <w:spacing w:after="0"/>
              <w:jc w:val="center"/>
              <w:rPr>
                <w:rFonts w:eastAsia="Times New Roman" w:cs="Arial"/>
                <w:b/>
                <w:sz w:val="20"/>
                <w:szCs w:val="20"/>
                <w:lang w:eastAsia="en-AU"/>
              </w:rPr>
            </w:pPr>
            <w:r w:rsidRPr="00C14564">
              <w:rPr>
                <w:rFonts w:eastAsia="Times New Roman" w:cs="Arial"/>
                <w:b/>
                <w:sz w:val="20"/>
                <w:szCs w:val="20"/>
                <w:lang w:eastAsia="en-AU"/>
              </w:rPr>
              <w:t>Outputs/Major activities</w:t>
            </w:r>
          </w:p>
        </w:tc>
        <w:tc>
          <w:tcPr>
            <w:tcW w:w="1162" w:type="dxa"/>
            <w:shd w:val="clear" w:color="auto" w:fill="auto"/>
            <w:noWrap/>
            <w:vAlign w:val="bottom"/>
            <w:hideMark/>
          </w:tcPr>
          <w:p w14:paraId="37B3D3F8" w14:textId="77777777" w:rsidR="00C14564" w:rsidRPr="00C14564" w:rsidRDefault="00C14564" w:rsidP="00665E01">
            <w:pPr>
              <w:spacing w:after="0"/>
              <w:jc w:val="right"/>
              <w:rPr>
                <w:rFonts w:eastAsia="Times New Roman" w:cs="Arial"/>
                <w:b/>
                <w:sz w:val="20"/>
                <w:szCs w:val="20"/>
                <w:lang w:eastAsia="en-AU"/>
              </w:rPr>
            </w:pPr>
            <w:r w:rsidRPr="00C14564">
              <w:rPr>
                <w:rFonts w:eastAsia="Times New Roman" w:cs="Arial"/>
                <w:b/>
                <w:sz w:val="20"/>
                <w:szCs w:val="20"/>
                <w:lang w:eastAsia="en-AU"/>
              </w:rPr>
              <w:t>$Millions</w:t>
            </w:r>
          </w:p>
        </w:tc>
        <w:tc>
          <w:tcPr>
            <w:tcW w:w="895" w:type="dxa"/>
            <w:shd w:val="clear" w:color="auto" w:fill="auto"/>
            <w:noWrap/>
            <w:vAlign w:val="bottom"/>
            <w:hideMark/>
          </w:tcPr>
          <w:p w14:paraId="08D79EF3" w14:textId="77777777" w:rsidR="00C14564" w:rsidRPr="00C14564" w:rsidRDefault="00C14564" w:rsidP="00665E01">
            <w:pPr>
              <w:spacing w:after="0"/>
              <w:jc w:val="right"/>
              <w:rPr>
                <w:rFonts w:eastAsia="Times New Roman" w:cs="Arial"/>
                <w:b/>
                <w:sz w:val="20"/>
                <w:szCs w:val="20"/>
                <w:lang w:eastAsia="en-AU"/>
              </w:rPr>
            </w:pPr>
            <w:r w:rsidRPr="00C14564">
              <w:rPr>
                <w:rFonts w:eastAsia="Times New Roman" w:cs="Arial"/>
                <w:b/>
                <w:sz w:val="20"/>
                <w:szCs w:val="20"/>
                <w:lang w:eastAsia="en-AU"/>
              </w:rPr>
              <w:t>%</w:t>
            </w:r>
          </w:p>
        </w:tc>
      </w:tr>
      <w:tr w:rsidR="00C14564" w:rsidRPr="00C14564" w14:paraId="0C14E73D" w14:textId="77777777" w:rsidTr="00665E01">
        <w:trPr>
          <w:trHeight w:val="255"/>
        </w:trPr>
        <w:tc>
          <w:tcPr>
            <w:tcW w:w="5375" w:type="dxa"/>
            <w:shd w:val="clear" w:color="auto" w:fill="auto"/>
            <w:noWrap/>
            <w:vAlign w:val="bottom"/>
            <w:hideMark/>
          </w:tcPr>
          <w:p w14:paraId="47AB0705"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Government Accommodation and Building Policy Services</w:t>
            </w:r>
          </w:p>
        </w:tc>
        <w:tc>
          <w:tcPr>
            <w:tcW w:w="1162" w:type="dxa"/>
            <w:shd w:val="clear" w:color="auto" w:fill="auto"/>
            <w:noWrap/>
            <w:vAlign w:val="bottom"/>
            <w:hideMark/>
          </w:tcPr>
          <w:p w14:paraId="073929D4" w14:textId="5E147C7A"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734.5 </w:t>
            </w:r>
          </w:p>
        </w:tc>
        <w:tc>
          <w:tcPr>
            <w:tcW w:w="895" w:type="dxa"/>
            <w:shd w:val="clear" w:color="auto" w:fill="auto"/>
            <w:noWrap/>
            <w:vAlign w:val="bottom"/>
            <w:hideMark/>
          </w:tcPr>
          <w:p w14:paraId="370669C8"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23.2%</w:t>
            </w:r>
          </w:p>
        </w:tc>
      </w:tr>
      <w:tr w:rsidR="00C14564" w:rsidRPr="00C14564" w14:paraId="660FE762" w14:textId="77777777" w:rsidTr="00665E01">
        <w:trPr>
          <w:trHeight w:val="255"/>
        </w:trPr>
        <w:tc>
          <w:tcPr>
            <w:tcW w:w="5375" w:type="dxa"/>
            <w:shd w:val="clear" w:color="auto" w:fill="auto"/>
            <w:noWrap/>
            <w:vAlign w:val="bottom"/>
            <w:hideMark/>
          </w:tcPr>
          <w:p w14:paraId="18F7D0E0"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Procurement Services</w:t>
            </w:r>
          </w:p>
        </w:tc>
        <w:tc>
          <w:tcPr>
            <w:tcW w:w="1162" w:type="dxa"/>
            <w:shd w:val="clear" w:color="auto" w:fill="auto"/>
            <w:noWrap/>
            <w:vAlign w:val="bottom"/>
            <w:hideMark/>
          </w:tcPr>
          <w:p w14:paraId="7614E050" w14:textId="7B78C92A"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13.6 </w:t>
            </w:r>
          </w:p>
        </w:tc>
        <w:tc>
          <w:tcPr>
            <w:tcW w:w="895" w:type="dxa"/>
            <w:shd w:val="clear" w:color="auto" w:fill="auto"/>
            <w:noWrap/>
            <w:vAlign w:val="bottom"/>
            <w:hideMark/>
          </w:tcPr>
          <w:p w14:paraId="19EE4D15"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0.4%</w:t>
            </w:r>
          </w:p>
        </w:tc>
      </w:tr>
      <w:tr w:rsidR="00C14564" w:rsidRPr="00C14564" w14:paraId="0416A08A" w14:textId="77777777" w:rsidTr="00665E01">
        <w:trPr>
          <w:trHeight w:val="255"/>
        </w:trPr>
        <w:tc>
          <w:tcPr>
            <w:tcW w:w="5375" w:type="dxa"/>
            <w:shd w:val="clear" w:color="auto" w:fill="auto"/>
            <w:noWrap/>
            <w:vAlign w:val="bottom"/>
            <w:hideMark/>
          </w:tcPr>
          <w:p w14:paraId="0B2C82C1"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Housing Services</w:t>
            </w:r>
          </w:p>
        </w:tc>
        <w:tc>
          <w:tcPr>
            <w:tcW w:w="1162" w:type="dxa"/>
            <w:shd w:val="clear" w:color="auto" w:fill="auto"/>
            <w:noWrap/>
            <w:vAlign w:val="bottom"/>
            <w:hideMark/>
          </w:tcPr>
          <w:p w14:paraId="45A0EC05" w14:textId="0289040A"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1,241.8 </w:t>
            </w:r>
          </w:p>
        </w:tc>
        <w:tc>
          <w:tcPr>
            <w:tcW w:w="895" w:type="dxa"/>
            <w:shd w:val="clear" w:color="auto" w:fill="auto"/>
            <w:noWrap/>
            <w:vAlign w:val="bottom"/>
            <w:hideMark/>
          </w:tcPr>
          <w:p w14:paraId="498B67B6"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39.3%</w:t>
            </w:r>
          </w:p>
        </w:tc>
      </w:tr>
      <w:tr w:rsidR="00C14564" w:rsidRPr="00C14564" w14:paraId="4EB97DDC" w14:textId="77777777" w:rsidTr="00665E01">
        <w:trPr>
          <w:trHeight w:val="255"/>
        </w:trPr>
        <w:tc>
          <w:tcPr>
            <w:tcW w:w="5375" w:type="dxa"/>
            <w:shd w:val="clear" w:color="auto" w:fill="auto"/>
            <w:noWrap/>
            <w:vAlign w:val="bottom"/>
            <w:hideMark/>
          </w:tcPr>
          <w:p w14:paraId="7319856D"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Building and Asset Services</w:t>
            </w:r>
          </w:p>
        </w:tc>
        <w:tc>
          <w:tcPr>
            <w:tcW w:w="1162" w:type="dxa"/>
            <w:shd w:val="clear" w:color="auto" w:fill="auto"/>
            <w:noWrap/>
            <w:vAlign w:val="bottom"/>
            <w:hideMark/>
          </w:tcPr>
          <w:p w14:paraId="3520A8C0" w14:textId="1406C2D2"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968.5 </w:t>
            </w:r>
          </w:p>
        </w:tc>
        <w:tc>
          <w:tcPr>
            <w:tcW w:w="895" w:type="dxa"/>
            <w:shd w:val="clear" w:color="auto" w:fill="auto"/>
            <w:noWrap/>
            <w:vAlign w:val="bottom"/>
            <w:hideMark/>
          </w:tcPr>
          <w:p w14:paraId="40F694DB"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30.7%</w:t>
            </w:r>
          </w:p>
        </w:tc>
      </w:tr>
      <w:tr w:rsidR="00C14564" w:rsidRPr="00C14564" w14:paraId="308CA930" w14:textId="77777777" w:rsidTr="00665E01">
        <w:trPr>
          <w:trHeight w:val="255"/>
        </w:trPr>
        <w:tc>
          <w:tcPr>
            <w:tcW w:w="5375" w:type="dxa"/>
            <w:shd w:val="clear" w:color="auto" w:fill="auto"/>
            <w:noWrap/>
            <w:vAlign w:val="bottom"/>
            <w:hideMark/>
          </w:tcPr>
          <w:p w14:paraId="3D1E34C4"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QFleet</w:t>
            </w:r>
          </w:p>
        </w:tc>
        <w:tc>
          <w:tcPr>
            <w:tcW w:w="1162" w:type="dxa"/>
            <w:shd w:val="clear" w:color="auto" w:fill="auto"/>
            <w:noWrap/>
            <w:vAlign w:val="bottom"/>
            <w:hideMark/>
          </w:tcPr>
          <w:p w14:paraId="4ADB26DB" w14:textId="7FA96880"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108.1 </w:t>
            </w:r>
          </w:p>
        </w:tc>
        <w:tc>
          <w:tcPr>
            <w:tcW w:w="895" w:type="dxa"/>
            <w:shd w:val="clear" w:color="auto" w:fill="auto"/>
            <w:noWrap/>
            <w:vAlign w:val="bottom"/>
            <w:hideMark/>
          </w:tcPr>
          <w:p w14:paraId="546E8FBA"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3.4%</w:t>
            </w:r>
          </w:p>
        </w:tc>
      </w:tr>
      <w:tr w:rsidR="00C14564" w:rsidRPr="00C14564" w14:paraId="592722A1" w14:textId="77777777" w:rsidTr="00665E01">
        <w:trPr>
          <w:trHeight w:val="255"/>
        </w:trPr>
        <w:tc>
          <w:tcPr>
            <w:tcW w:w="5375" w:type="dxa"/>
            <w:shd w:val="clear" w:color="auto" w:fill="auto"/>
            <w:noWrap/>
            <w:vAlign w:val="bottom"/>
            <w:hideMark/>
          </w:tcPr>
          <w:p w14:paraId="1F436F61"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General - not attributed</w:t>
            </w:r>
          </w:p>
        </w:tc>
        <w:tc>
          <w:tcPr>
            <w:tcW w:w="1162" w:type="dxa"/>
            <w:shd w:val="clear" w:color="auto" w:fill="auto"/>
            <w:noWrap/>
            <w:vAlign w:val="bottom"/>
            <w:hideMark/>
          </w:tcPr>
          <w:p w14:paraId="7914A703" w14:textId="5547CC38"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95.7 </w:t>
            </w:r>
          </w:p>
        </w:tc>
        <w:tc>
          <w:tcPr>
            <w:tcW w:w="895" w:type="dxa"/>
            <w:shd w:val="clear" w:color="auto" w:fill="auto"/>
            <w:noWrap/>
            <w:vAlign w:val="bottom"/>
            <w:hideMark/>
          </w:tcPr>
          <w:p w14:paraId="285828EF"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3.0%</w:t>
            </w:r>
          </w:p>
        </w:tc>
      </w:tr>
      <w:tr w:rsidR="00C14564" w:rsidRPr="00C14564" w14:paraId="3E830886" w14:textId="77777777" w:rsidTr="00665E01">
        <w:trPr>
          <w:trHeight w:val="255"/>
        </w:trPr>
        <w:tc>
          <w:tcPr>
            <w:tcW w:w="5375" w:type="dxa"/>
            <w:shd w:val="clear" w:color="auto" w:fill="auto"/>
            <w:noWrap/>
            <w:vAlign w:val="bottom"/>
            <w:hideMark/>
          </w:tcPr>
          <w:p w14:paraId="4D68511B" w14:textId="77777777" w:rsidR="00C14564" w:rsidRPr="00C14564" w:rsidRDefault="00C14564" w:rsidP="00C14564">
            <w:pPr>
              <w:spacing w:after="0"/>
              <w:rPr>
                <w:rFonts w:eastAsia="Times New Roman" w:cs="Arial"/>
                <w:b/>
                <w:bCs/>
                <w:sz w:val="20"/>
                <w:szCs w:val="20"/>
                <w:lang w:eastAsia="en-AU"/>
              </w:rPr>
            </w:pPr>
            <w:r w:rsidRPr="00C14564">
              <w:rPr>
                <w:rFonts w:eastAsia="Times New Roman" w:cs="Arial"/>
                <w:b/>
                <w:bCs/>
                <w:sz w:val="20"/>
                <w:szCs w:val="20"/>
                <w:lang w:eastAsia="en-AU"/>
              </w:rPr>
              <w:t>Total</w:t>
            </w:r>
          </w:p>
        </w:tc>
        <w:tc>
          <w:tcPr>
            <w:tcW w:w="1162" w:type="dxa"/>
            <w:shd w:val="clear" w:color="auto" w:fill="auto"/>
            <w:noWrap/>
            <w:vAlign w:val="bottom"/>
            <w:hideMark/>
          </w:tcPr>
          <w:p w14:paraId="35FC51C0" w14:textId="77777777" w:rsidR="00C14564" w:rsidRPr="00C14564" w:rsidRDefault="00C14564" w:rsidP="00665E01">
            <w:pPr>
              <w:spacing w:after="0"/>
              <w:jc w:val="right"/>
              <w:rPr>
                <w:rFonts w:eastAsia="Times New Roman" w:cs="Arial"/>
                <w:b/>
                <w:bCs/>
                <w:sz w:val="20"/>
                <w:szCs w:val="20"/>
                <w:lang w:eastAsia="en-AU"/>
              </w:rPr>
            </w:pPr>
            <w:r w:rsidRPr="00C14564">
              <w:rPr>
                <w:rFonts w:eastAsia="Times New Roman" w:cs="Arial"/>
                <w:b/>
                <w:bCs/>
                <w:sz w:val="20"/>
                <w:szCs w:val="20"/>
                <w:lang w:eastAsia="en-AU"/>
              </w:rPr>
              <w:t>3,162.2</w:t>
            </w:r>
          </w:p>
        </w:tc>
        <w:tc>
          <w:tcPr>
            <w:tcW w:w="895" w:type="dxa"/>
            <w:shd w:val="clear" w:color="auto" w:fill="auto"/>
            <w:noWrap/>
            <w:vAlign w:val="bottom"/>
            <w:hideMark/>
          </w:tcPr>
          <w:p w14:paraId="2BD8FD88" w14:textId="77777777" w:rsidR="00C14564" w:rsidRPr="00C14564" w:rsidRDefault="00C14564" w:rsidP="00665E01">
            <w:pPr>
              <w:spacing w:after="0"/>
              <w:jc w:val="right"/>
              <w:rPr>
                <w:rFonts w:eastAsia="Times New Roman" w:cs="Arial"/>
                <w:b/>
                <w:bCs/>
                <w:color w:val="000000"/>
                <w:sz w:val="20"/>
                <w:szCs w:val="20"/>
                <w:lang w:eastAsia="en-AU"/>
              </w:rPr>
            </w:pPr>
            <w:r w:rsidRPr="00C14564">
              <w:rPr>
                <w:rFonts w:eastAsia="Times New Roman" w:cs="Arial"/>
                <w:b/>
                <w:bCs/>
                <w:color w:val="000000"/>
                <w:sz w:val="20"/>
                <w:szCs w:val="20"/>
                <w:lang w:eastAsia="en-AU"/>
              </w:rPr>
              <w:t>100.0%</w:t>
            </w:r>
          </w:p>
        </w:tc>
      </w:tr>
    </w:tbl>
    <w:p w14:paraId="270E215E" w14:textId="77777777" w:rsidR="00C14564" w:rsidRPr="00C14564" w:rsidRDefault="00C14564" w:rsidP="00C14564">
      <w:pPr>
        <w:spacing w:after="0"/>
        <w:rPr>
          <w:rFonts w:ascii="Times New Roman" w:eastAsia="Times New Roman" w:hAnsi="Times New Roman" w:cs="Times New Roman"/>
          <w:sz w:val="20"/>
          <w:szCs w:val="20"/>
          <w:lang w:eastAsia="en-AU"/>
        </w:rPr>
      </w:pPr>
    </w:p>
    <w:p w14:paraId="040630DA" w14:textId="77777777" w:rsidR="00C14564" w:rsidRPr="00C14564" w:rsidRDefault="00C14564" w:rsidP="00665E01">
      <w:pPr>
        <w:pStyle w:val="Heading3"/>
      </w:pPr>
      <w:r w:rsidRPr="00C14564">
        <w:t>Total income from continuing operations by category</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85"/>
        <w:gridCol w:w="1147"/>
        <w:gridCol w:w="924"/>
      </w:tblGrid>
      <w:tr w:rsidR="00C14564" w:rsidRPr="00C14564" w14:paraId="46961E1A" w14:textId="77777777" w:rsidTr="00665E01">
        <w:trPr>
          <w:trHeight w:val="255"/>
        </w:trPr>
        <w:tc>
          <w:tcPr>
            <w:tcW w:w="5385" w:type="dxa"/>
            <w:shd w:val="clear" w:color="auto" w:fill="auto"/>
            <w:noWrap/>
            <w:vAlign w:val="bottom"/>
          </w:tcPr>
          <w:p w14:paraId="02F9A748" w14:textId="02A38DF1" w:rsidR="00C14564" w:rsidRPr="00C14564" w:rsidRDefault="00C14564" w:rsidP="00C14564">
            <w:pPr>
              <w:spacing w:after="0"/>
              <w:rPr>
                <w:rFonts w:eastAsia="Times New Roman" w:cs="Arial"/>
                <w:b/>
                <w:bCs/>
                <w:sz w:val="20"/>
                <w:szCs w:val="20"/>
                <w:lang w:eastAsia="en-AU"/>
              </w:rPr>
            </w:pPr>
          </w:p>
        </w:tc>
        <w:tc>
          <w:tcPr>
            <w:tcW w:w="1147" w:type="dxa"/>
            <w:shd w:val="clear" w:color="auto" w:fill="auto"/>
            <w:noWrap/>
            <w:vAlign w:val="bottom"/>
            <w:hideMark/>
          </w:tcPr>
          <w:p w14:paraId="3E932530" w14:textId="77777777" w:rsidR="00C14564" w:rsidRPr="00C14564" w:rsidRDefault="00C14564" w:rsidP="00665E01">
            <w:pPr>
              <w:spacing w:after="0"/>
              <w:jc w:val="right"/>
              <w:rPr>
                <w:rFonts w:eastAsia="Times New Roman" w:cs="Arial"/>
                <w:b/>
                <w:sz w:val="20"/>
                <w:szCs w:val="20"/>
                <w:lang w:eastAsia="en-AU"/>
              </w:rPr>
            </w:pPr>
            <w:r w:rsidRPr="00C14564">
              <w:rPr>
                <w:rFonts w:eastAsia="Times New Roman" w:cs="Arial"/>
                <w:b/>
                <w:sz w:val="20"/>
                <w:szCs w:val="20"/>
                <w:lang w:eastAsia="en-AU"/>
              </w:rPr>
              <w:t>$Millions</w:t>
            </w:r>
          </w:p>
        </w:tc>
        <w:tc>
          <w:tcPr>
            <w:tcW w:w="924" w:type="dxa"/>
            <w:shd w:val="clear" w:color="auto" w:fill="auto"/>
            <w:noWrap/>
            <w:vAlign w:val="bottom"/>
            <w:hideMark/>
          </w:tcPr>
          <w:p w14:paraId="2E06667A" w14:textId="77777777" w:rsidR="00C14564" w:rsidRPr="00C14564" w:rsidRDefault="00C14564" w:rsidP="00665E01">
            <w:pPr>
              <w:spacing w:after="0"/>
              <w:jc w:val="right"/>
              <w:rPr>
                <w:rFonts w:eastAsia="Times New Roman" w:cs="Arial"/>
                <w:b/>
                <w:bCs/>
                <w:sz w:val="20"/>
                <w:szCs w:val="20"/>
                <w:lang w:eastAsia="en-AU"/>
              </w:rPr>
            </w:pPr>
            <w:r w:rsidRPr="00C14564">
              <w:rPr>
                <w:rFonts w:eastAsia="Times New Roman" w:cs="Arial"/>
                <w:b/>
                <w:bCs/>
                <w:sz w:val="20"/>
                <w:szCs w:val="20"/>
                <w:lang w:eastAsia="en-AU"/>
              </w:rPr>
              <w:t>%</w:t>
            </w:r>
          </w:p>
        </w:tc>
      </w:tr>
      <w:tr w:rsidR="00C14564" w:rsidRPr="00C14564" w14:paraId="62875F3E" w14:textId="77777777" w:rsidTr="00665E01">
        <w:trPr>
          <w:trHeight w:val="255"/>
        </w:trPr>
        <w:tc>
          <w:tcPr>
            <w:tcW w:w="5385" w:type="dxa"/>
            <w:shd w:val="clear" w:color="auto" w:fill="auto"/>
            <w:noWrap/>
            <w:vAlign w:val="bottom"/>
            <w:hideMark/>
          </w:tcPr>
          <w:p w14:paraId="080DA5BD"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 xml:space="preserve">Appropriation revenue </w:t>
            </w:r>
          </w:p>
        </w:tc>
        <w:tc>
          <w:tcPr>
            <w:tcW w:w="1147" w:type="dxa"/>
            <w:shd w:val="clear" w:color="auto" w:fill="auto"/>
            <w:noWrap/>
            <w:vAlign w:val="bottom"/>
            <w:hideMark/>
          </w:tcPr>
          <w:p w14:paraId="0E9BF26B" w14:textId="3B4FDD02"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682.1 </w:t>
            </w:r>
          </w:p>
        </w:tc>
        <w:tc>
          <w:tcPr>
            <w:tcW w:w="924" w:type="dxa"/>
            <w:shd w:val="clear" w:color="auto" w:fill="auto"/>
            <w:noWrap/>
            <w:vAlign w:val="bottom"/>
            <w:hideMark/>
          </w:tcPr>
          <w:p w14:paraId="0FAFB38A"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28.6%</w:t>
            </w:r>
          </w:p>
        </w:tc>
      </w:tr>
      <w:tr w:rsidR="00C14564" w:rsidRPr="00C14564" w14:paraId="50EE50EF" w14:textId="77777777" w:rsidTr="00665E01">
        <w:trPr>
          <w:trHeight w:val="255"/>
        </w:trPr>
        <w:tc>
          <w:tcPr>
            <w:tcW w:w="5385" w:type="dxa"/>
            <w:shd w:val="clear" w:color="auto" w:fill="auto"/>
            <w:noWrap/>
            <w:vAlign w:val="bottom"/>
            <w:hideMark/>
          </w:tcPr>
          <w:p w14:paraId="7E5DAA82"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User charges and fees</w:t>
            </w:r>
          </w:p>
        </w:tc>
        <w:tc>
          <w:tcPr>
            <w:tcW w:w="1147" w:type="dxa"/>
            <w:shd w:val="clear" w:color="auto" w:fill="auto"/>
            <w:noWrap/>
            <w:vAlign w:val="bottom"/>
            <w:hideMark/>
          </w:tcPr>
          <w:p w14:paraId="6A632706" w14:textId="7CC4E278"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1,654.2 </w:t>
            </w:r>
          </w:p>
        </w:tc>
        <w:tc>
          <w:tcPr>
            <w:tcW w:w="924" w:type="dxa"/>
            <w:shd w:val="clear" w:color="auto" w:fill="auto"/>
            <w:noWrap/>
            <w:vAlign w:val="bottom"/>
            <w:hideMark/>
          </w:tcPr>
          <w:p w14:paraId="78DCFD4C"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69.4%</w:t>
            </w:r>
          </w:p>
        </w:tc>
      </w:tr>
      <w:tr w:rsidR="00C14564" w:rsidRPr="00C14564" w14:paraId="08EF9A37" w14:textId="77777777" w:rsidTr="00665E01">
        <w:trPr>
          <w:trHeight w:val="255"/>
        </w:trPr>
        <w:tc>
          <w:tcPr>
            <w:tcW w:w="5385" w:type="dxa"/>
            <w:shd w:val="clear" w:color="auto" w:fill="auto"/>
            <w:noWrap/>
            <w:vAlign w:val="bottom"/>
            <w:hideMark/>
          </w:tcPr>
          <w:p w14:paraId="61A3B245"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Grants and other contributions</w:t>
            </w:r>
          </w:p>
        </w:tc>
        <w:tc>
          <w:tcPr>
            <w:tcW w:w="1147" w:type="dxa"/>
            <w:shd w:val="clear" w:color="auto" w:fill="auto"/>
            <w:noWrap/>
            <w:vAlign w:val="bottom"/>
            <w:hideMark/>
          </w:tcPr>
          <w:p w14:paraId="5FFAEBEA" w14:textId="72F20FAD"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5.6 </w:t>
            </w:r>
          </w:p>
        </w:tc>
        <w:tc>
          <w:tcPr>
            <w:tcW w:w="924" w:type="dxa"/>
            <w:shd w:val="clear" w:color="auto" w:fill="auto"/>
            <w:noWrap/>
            <w:vAlign w:val="bottom"/>
            <w:hideMark/>
          </w:tcPr>
          <w:p w14:paraId="38394A99"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0.2%</w:t>
            </w:r>
          </w:p>
        </w:tc>
      </w:tr>
      <w:tr w:rsidR="00C14564" w:rsidRPr="00C14564" w14:paraId="1B230BB5" w14:textId="77777777" w:rsidTr="00665E01">
        <w:trPr>
          <w:trHeight w:val="255"/>
        </w:trPr>
        <w:tc>
          <w:tcPr>
            <w:tcW w:w="5385" w:type="dxa"/>
            <w:shd w:val="clear" w:color="auto" w:fill="auto"/>
            <w:noWrap/>
            <w:vAlign w:val="bottom"/>
            <w:hideMark/>
          </w:tcPr>
          <w:p w14:paraId="6AFBE028"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Interest</w:t>
            </w:r>
          </w:p>
        </w:tc>
        <w:tc>
          <w:tcPr>
            <w:tcW w:w="1147" w:type="dxa"/>
            <w:shd w:val="clear" w:color="auto" w:fill="auto"/>
            <w:noWrap/>
            <w:vAlign w:val="bottom"/>
            <w:hideMark/>
          </w:tcPr>
          <w:p w14:paraId="5BD356DD" w14:textId="34324426"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3.9 </w:t>
            </w:r>
          </w:p>
        </w:tc>
        <w:tc>
          <w:tcPr>
            <w:tcW w:w="924" w:type="dxa"/>
            <w:shd w:val="clear" w:color="auto" w:fill="auto"/>
            <w:noWrap/>
            <w:vAlign w:val="bottom"/>
            <w:hideMark/>
          </w:tcPr>
          <w:p w14:paraId="55B851B2"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0.2%</w:t>
            </w:r>
          </w:p>
        </w:tc>
      </w:tr>
      <w:tr w:rsidR="00C14564" w:rsidRPr="00C14564" w14:paraId="7D65BE32" w14:textId="77777777" w:rsidTr="00665E01">
        <w:trPr>
          <w:trHeight w:val="255"/>
        </w:trPr>
        <w:tc>
          <w:tcPr>
            <w:tcW w:w="5385" w:type="dxa"/>
            <w:shd w:val="clear" w:color="auto" w:fill="auto"/>
            <w:noWrap/>
            <w:vAlign w:val="bottom"/>
            <w:hideMark/>
          </w:tcPr>
          <w:p w14:paraId="2A84E3C4"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Other revenue</w:t>
            </w:r>
          </w:p>
        </w:tc>
        <w:tc>
          <w:tcPr>
            <w:tcW w:w="1147" w:type="dxa"/>
            <w:shd w:val="clear" w:color="auto" w:fill="auto"/>
            <w:noWrap/>
            <w:vAlign w:val="bottom"/>
            <w:hideMark/>
          </w:tcPr>
          <w:p w14:paraId="472294D8" w14:textId="4BFC5221"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31.7 </w:t>
            </w:r>
          </w:p>
        </w:tc>
        <w:tc>
          <w:tcPr>
            <w:tcW w:w="924" w:type="dxa"/>
            <w:shd w:val="clear" w:color="auto" w:fill="auto"/>
            <w:noWrap/>
            <w:vAlign w:val="bottom"/>
            <w:hideMark/>
          </w:tcPr>
          <w:p w14:paraId="14B4F69E"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1.3%</w:t>
            </w:r>
          </w:p>
        </w:tc>
      </w:tr>
      <w:tr w:rsidR="00C14564" w:rsidRPr="00C14564" w14:paraId="6ED01B24" w14:textId="77777777" w:rsidTr="00665E01">
        <w:trPr>
          <w:trHeight w:val="255"/>
        </w:trPr>
        <w:tc>
          <w:tcPr>
            <w:tcW w:w="5385" w:type="dxa"/>
            <w:shd w:val="clear" w:color="auto" w:fill="auto"/>
            <w:noWrap/>
            <w:vAlign w:val="bottom"/>
            <w:hideMark/>
          </w:tcPr>
          <w:p w14:paraId="433E8A36" w14:textId="4EEF48F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Gains on disposal</w:t>
            </w:r>
            <w:r w:rsidR="003235A3">
              <w:rPr>
                <w:rFonts w:eastAsia="Times New Roman" w:cs="Arial"/>
                <w:color w:val="000000"/>
                <w:sz w:val="20"/>
                <w:szCs w:val="20"/>
                <w:lang w:eastAsia="en-AU"/>
              </w:rPr>
              <w:t xml:space="preserve"> </w:t>
            </w:r>
            <w:r w:rsidRPr="00C14564">
              <w:rPr>
                <w:rFonts w:eastAsia="Times New Roman" w:cs="Arial"/>
                <w:color w:val="000000"/>
                <w:sz w:val="20"/>
                <w:szCs w:val="20"/>
                <w:lang w:eastAsia="en-AU"/>
              </w:rPr>
              <w:t>/</w:t>
            </w:r>
            <w:r w:rsidR="004D5487">
              <w:rPr>
                <w:rFonts w:eastAsia="Times New Roman" w:cs="Arial"/>
                <w:color w:val="000000"/>
                <w:sz w:val="20"/>
                <w:szCs w:val="20"/>
                <w:lang w:eastAsia="en-AU"/>
              </w:rPr>
              <w:t xml:space="preserve"> </w:t>
            </w:r>
            <w:r w:rsidRPr="00C14564">
              <w:rPr>
                <w:rFonts w:eastAsia="Times New Roman" w:cs="Arial"/>
                <w:color w:val="000000"/>
                <w:sz w:val="20"/>
                <w:szCs w:val="20"/>
                <w:lang w:eastAsia="en-AU"/>
              </w:rPr>
              <w:t xml:space="preserve">remeasurement of assets </w:t>
            </w:r>
          </w:p>
        </w:tc>
        <w:tc>
          <w:tcPr>
            <w:tcW w:w="1147" w:type="dxa"/>
            <w:shd w:val="clear" w:color="auto" w:fill="auto"/>
            <w:noWrap/>
            <w:vAlign w:val="bottom"/>
            <w:hideMark/>
          </w:tcPr>
          <w:p w14:paraId="514911CF" w14:textId="7CF52A9D"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6.4 </w:t>
            </w:r>
          </w:p>
        </w:tc>
        <w:tc>
          <w:tcPr>
            <w:tcW w:w="924" w:type="dxa"/>
            <w:shd w:val="clear" w:color="auto" w:fill="auto"/>
            <w:noWrap/>
            <w:vAlign w:val="bottom"/>
            <w:hideMark/>
          </w:tcPr>
          <w:p w14:paraId="7B3D0405"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0.3%</w:t>
            </w:r>
          </w:p>
        </w:tc>
      </w:tr>
      <w:tr w:rsidR="00C14564" w:rsidRPr="00C14564" w14:paraId="31583585" w14:textId="77777777" w:rsidTr="00665E01">
        <w:trPr>
          <w:trHeight w:val="255"/>
        </w:trPr>
        <w:tc>
          <w:tcPr>
            <w:tcW w:w="5385" w:type="dxa"/>
            <w:shd w:val="clear" w:color="auto" w:fill="auto"/>
            <w:noWrap/>
            <w:vAlign w:val="bottom"/>
            <w:hideMark/>
          </w:tcPr>
          <w:p w14:paraId="40AE2080" w14:textId="77777777" w:rsidR="00C14564" w:rsidRPr="00C14564" w:rsidRDefault="00C14564" w:rsidP="00C14564">
            <w:pPr>
              <w:spacing w:after="0"/>
              <w:rPr>
                <w:rFonts w:eastAsia="Times New Roman" w:cs="Arial"/>
                <w:b/>
                <w:bCs/>
                <w:sz w:val="20"/>
                <w:szCs w:val="20"/>
                <w:lang w:eastAsia="en-AU"/>
              </w:rPr>
            </w:pPr>
            <w:r w:rsidRPr="00C14564">
              <w:rPr>
                <w:rFonts w:eastAsia="Times New Roman" w:cs="Arial"/>
                <w:b/>
                <w:bCs/>
                <w:sz w:val="20"/>
                <w:szCs w:val="20"/>
                <w:lang w:eastAsia="en-AU"/>
              </w:rPr>
              <w:t>Total</w:t>
            </w:r>
          </w:p>
        </w:tc>
        <w:tc>
          <w:tcPr>
            <w:tcW w:w="1147" w:type="dxa"/>
            <w:shd w:val="clear" w:color="auto" w:fill="auto"/>
            <w:noWrap/>
            <w:vAlign w:val="bottom"/>
            <w:hideMark/>
          </w:tcPr>
          <w:p w14:paraId="7321A20B" w14:textId="77777777" w:rsidR="00C14564" w:rsidRPr="00C14564" w:rsidRDefault="00C14564" w:rsidP="00665E01">
            <w:pPr>
              <w:spacing w:after="0"/>
              <w:jc w:val="right"/>
              <w:rPr>
                <w:rFonts w:eastAsia="Times New Roman" w:cs="Arial"/>
                <w:b/>
                <w:bCs/>
                <w:sz w:val="20"/>
                <w:szCs w:val="20"/>
                <w:lang w:eastAsia="en-AU"/>
              </w:rPr>
            </w:pPr>
            <w:r w:rsidRPr="00C14564">
              <w:rPr>
                <w:rFonts w:eastAsia="Times New Roman" w:cs="Arial"/>
                <w:b/>
                <w:bCs/>
                <w:sz w:val="20"/>
                <w:szCs w:val="20"/>
                <w:lang w:eastAsia="en-AU"/>
              </w:rPr>
              <w:t>2,383.7</w:t>
            </w:r>
          </w:p>
        </w:tc>
        <w:tc>
          <w:tcPr>
            <w:tcW w:w="924" w:type="dxa"/>
            <w:shd w:val="clear" w:color="auto" w:fill="auto"/>
            <w:noWrap/>
            <w:vAlign w:val="bottom"/>
            <w:hideMark/>
          </w:tcPr>
          <w:p w14:paraId="6C526E23" w14:textId="77777777" w:rsidR="00C14564" w:rsidRPr="00C14564" w:rsidRDefault="00C14564" w:rsidP="00665E01">
            <w:pPr>
              <w:spacing w:after="0"/>
              <w:jc w:val="right"/>
              <w:rPr>
                <w:rFonts w:eastAsia="Times New Roman" w:cs="Arial"/>
                <w:b/>
                <w:bCs/>
                <w:color w:val="000000"/>
                <w:sz w:val="20"/>
                <w:szCs w:val="20"/>
                <w:lang w:eastAsia="en-AU"/>
              </w:rPr>
            </w:pPr>
            <w:r w:rsidRPr="00C14564">
              <w:rPr>
                <w:rFonts w:eastAsia="Times New Roman" w:cs="Arial"/>
                <w:b/>
                <w:bCs/>
                <w:color w:val="000000"/>
                <w:sz w:val="20"/>
                <w:szCs w:val="20"/>
                <w:lang w:eastAsia="en-AU"/>
              </w:rPr>
              <w:t>100.0%</w:t>
            </w:r>
          </w:p>
        </w:tc>
      </w:tr>
    </w:tbl>
    <w:p w14:paraId="4345FCF4" w14:textId="77777777" w:rsidR="00C14564" w:rsidRPr="00C14564" w:rsidRDefault="00C14564" w:rsidP="00C14564">
      <w:pPr>
        <w:spacing w:after="0"/>
        <w:rPr>
          <w:rFonts w:ascii="Times New Roman" w:eastAsia="Times New Roman" w:hAnsi="Times New Roman" w:cs="Times New Roman"/>
          <w:sz w:val="20"/>
          <w:szCs w:val="20"/>
          <w:lang w:eastAsia="en-AU"/>
        </w:rPr>
      </w:pPr>
    </w:p>
    <w:p w14:paraId="71198726" w14:textId="77777777" w:rsidR="00C14564" w:rsidRPr="00C14564" w:rsidRDefault="00C14564" w:rsidP="00665E01">
      <w:pPr>
        <w:pStyle w:val="Heading3"/>
      </w:pPr>
      <w:r w:rsidRPr="00C14564">
        <w:t>Total expenses from continuing operations by category</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399"/>
        <w:gridCol w:w="1119"/>
        <w:gridCol w:w="910"/>
      </w:tblGrid>
      <w:tr w:rsidR="00C14564" w:rsidRPr="00665E01" w14:paraId="07C87AC9" w14:textId="77777777" w:rsidTr="00665E01">
        <w:trPr>
          <w:trHeight w:val="255"/>
        </w:trPr>
        <w:tc>
          <w:tcPr>
            <w:tcW w:w="5399" w:type="dxa"/>
            <w:shd w:val="clear" w:color="auto" w:fill="auto"/>
            <w:noWrap/>
            <w:vAlign w:val="bottom"/>
          </w:tcPr>
          <w:p w14:paraId="34E3B2A2" w14:textId="77777777" w:rsidR="00C14564" w:rsidRPr="00665E01" w:rsidRDefault="00C14564" w:rsidP="00C14564">
            <w:pPr>
              <w:spacing w:after="0"/>
              <w:rPr>
                <w:rFonts w:eastAsia="Times New Roman" w:cs="Arial"/>
                <w:b/>
                <w:color w:val="000000"/>
                <w:sz w:val="20"/>
                <w:szCs w:val="20"/>
                <w:lang w:eastAsia="en-AU"/>
              </w:rPr>
            </w:pPr>
          </w:p>
        </w:tc>
        <w:tc>
          <w:tcPr>
            <w:tcW w:w="1119" w:type="dxa"/>
            <w:shd w:val="clear" w:color="auto" w:fill="auto"/>
            <w:noWrap/>
            <w:vAlign w:val="bottom"/>
          </w:tcPr>
          <w:p w14:paraId="1E48C7FF" w14:textId="582A2A73" w:rsidR="00C14564" w:rsidRPr="00665E01" w:rsidRDefault="00C14564" w:rsidP="00665E01">
            <w:pPr>
              <w:spacing w:after="0"/>
              <w:jc w:val="right"/>
              <w:rPr>
                <w:rFonts w:eastAsia="Times New Roman" w:cs="Arial"/>
                <w:b/>
                <w:color w:val="000000"/>
                <w:sz w:val="20"/>
                <w:szCs w:val="20"/>
                <w:lang w:eastAsia="en-AU"/>
              </w:rPr>
            </w:pPr>
            <w:r w:rsidRPr="00C14564">
              <w:rPr>
                <w:rFonts w:eastAsia="Times New Roman" w:cs="Arial"/>
                <w:b/>
                <w:sz w:val="20"/>
                <w:szCs w:val="20"/>
                <w:lang w:eastAsia="en-AU"/>
              </w:rPr>
              <w:t>$Millions</w:t>
            </w:r>
          </w:p>
        </w:tc>
        <w:tc>
          <w:tcPr>
            <w:tcW w:w="910" w:type="dxa"/>
            <w:shd w:val="clear" w:color="auto" w:fill="auto"/>
            <w:noWrap/>
            <w:vAlign w:val="bottom"/>
          </w:tcPr>
          <w:p w14:paraId="692D3EA0" w14:textId="64AB5524" w:rsidR="00C14564" w:rsidRPr="00665E01" w:rsidRDefault="00C14564" w:rsidP="00665E01">
            <w:pPr>
              <w:spacing w:after="0"/>
              <w:jc w:val="right"/>
              <w:rPr>
                <w:rFonts w:eastAsia="Times New Roman" w:cs="Arial"/>
                <w:b/>
                <w:color w:val="000000"/>
                <w:sz w:val="20"/>
                <w:szCs w:val="20"/>
                <w:lang w:eastAsia="en-AU"/>
              </w:rPr>
            </w:pPr>
            <w:r w:rsidRPr="00C14564">
              <w:rPr>
                <w:rFonts w:eastAsia="Times New Roman" w:cs="Arial"/>
                <w:b/>
                <w:bCs/>
                <w:sz w:val="20"/>
                <w:szCs w:val="20"/>
                <w:lang w:eastAsia="en-AU"/>
              </w:rPr>
              <w:t>%</w:t>
            </w:r>
          </w:p>
        </w:tc>
      </w:tr>
      <w:tr w:rsidR="00C14564" w:rsidRPr="00C14564" w14:paraId="443190AC" w14:textId="77777777" w:rsidTr="00665E01">
        <w:trPr>
          <w:trHeight w:val="255"/>
        </w:trPr>
        <w:tc>
          <w:tcPr>
            <w:tcW w:w="5399" w:type="dxa"/>
            <w:shd w:val="clear" w:color="auto" w:fill="auto"/>
            <w:noWrap/>
            <w:vAlign w:val="bottom"/>
            <w:hideMark/>
          </w:tcPr>
          <w:p w14:paraId="7B8F9523"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Employee expenses</w:t>
            </w:r>
          </w:p>
        </w:tc>
        <w:tc>
          <w:tcPr>
            <w:tcW w:w="1119" w:type="dxa"/>
            <w:shd w:val="clear" w:color="auto" w:fill="auto"/>
            <w:noWrap/>
            <w:vAlign w:val="bottom"/>
            <w:hideMark/>
          </w:tcPr>
          <w:p w14:paraId="4E595ABF" w14:textId="4645BD1B"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301.9 </w:t>
            </w:r>
          </w:p>
        </w:tc>
        <w:tc>
          <w:tcPr>
            <w:tcW w:w="910" w:type="dxa"/>
            <w:shd w:val="clear" w:color="auto" w:fill="auto"/>
            <w:noWrap/>
            <w:vAlign w:val="bottom"/>
            <w:hideMark/>
          </w:tcPr>
          <w:p w14:paraId="54FB351E"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11.6%</w:t>
            </w:r>
          </w:p>
        </w:tc>
      </w:tr>
      <w:tr w:rsidR="00C14564" w:rsidRPr="00C14564" w14:paraId="6DC81159" w14:textId="77777777" w:rsidTr="00665E01">
        <w:trPr>
          <w:trHeight w:val="255"/>
        </w:trPr>
        <w:tc>
          <w:tcPr>
            <w:tcW w:w="5399" w:type="dxa"/>
            <w:shd w:val="clear" w:color="auto" w:fill="auto"/>
            <w:noWrap/>
            <w:vAlign w:val="bottom"/>
            <w:hideMark/>
          </w:tcPr>
          <w:p w14:paraId="3C87E8FB"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Supplies and services</w:t>
            </w:r>
          </w:p>
        </w:tc>
        <w:tc>
          <w:tcPr>
            <w:tcW w:w="1119" w:type="dxa"/>
            <w:shd w:val="clear" w:color="auto" w:fill="auto"/>
            <w:noWrap/>
            <w:vAlign w:val="bottom"/>
            <w:hideMark/>
          </w:tcPr>
          <w:p w14:paraId="4501BE80" w14:textId="2740EAB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1,719.1 </w:t>
            </w:r>
          </w:p>
        </w:tc>
        <w:tc>
          <w:tcPr>
            <w:tcW w:w="910" w:type="dxa"/>
            <w:shd w:val="clear" w:color="auto" w:fill="auto"/>
            <w:noWrap/>
            <w:vAlign w:val="bottom"/>
            <w:hideMark/>
          </w:tcPr>
          <w:p w14:paraId="6EF5FBC1"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66.2%</w:t>
            </w:r>
          </w:p>
        </w:tc>
      </w:tr>
      <w:tr w:rsidR="00C14564" w:rsidRPr="00C14564" w14:paraId="719F5932" w14:textId="77777777" w:rsidTr="00665E01">
        <w:trPr>
          <w:trHeight w:val="255"/>
        </w:trPr>
        <w:tc>
          <w:tcPr>
            <w:tcW w:w="5399" w:type="dxa"/>
            <w:shd w:val="clear" w:color="auto" w:fill="auto"/>
            <w:noWrap/>
            <w:vAlign w:val="bottom"/>
            <w:hideMark/>
          </w:tcPr>
          <w:p w14:paraId="2F4E7573"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Grants and subsidies</w:t>
            </w:r>
          </w:p>
        </w:tc>
        <w:tc>
          <w:tcPr>
            <w:tcW w:w="1119" w:type="dxa"/>
            <w:shd w:val="clear" w:color="auto" w:fill="auto"/>
            <w:noWrap/>
            <w:vAlign w:val="bottom"/>
            <w:hideMark/>
          </w:tcPr>
          <w:p w14:paraId="6FFC88D4" w14:textId="58D4A35E"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119.0 </w:t>
            </w:r>
          </w:p>
        </w:tc>
        <w:tc>
          <w:tcPr>
            <w:tcW w:w="910" w:type="dxa"/>
            <w:shd w:val="clear" w:color="auto" w:fill="auto"/>
            <w:noWrap/>
            <w:vAlign w:val="bottom"/>
            <w:hideMark/>
          </w:tcPr>
          <w:p w14:paraId="461A14DE"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4.6%</w:t>
            </w:r>
          </w:p>
        </w:tc>
      </w:tr>
      <w:tr w:rsidR="00C14564" w:rsidRPr="00C14564" w14:paraId="70D883C6" w14:textId="77777777" w:rsidTr="00665E01">
        <w:trPr>
          <w:trHeight w:val="255"/>
        </w:trPr>
        <w:tc>
          <w:tcPr>
            <w:tcW w:w="5399" w:type="dxa"/>
            <w:shd w:val="clear" w:color="auto" w:fill="auto"/>
            <w:noWrap/>
            <w:vAlign w:val="bottom"/>
            <w:hideMark/>
          </w:tcPr>
          <w:p w14:paraId="092DB71F"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Depreciation and amortisation</w:t>
            </w:r>
          </w:p>
        </w:tc>
        <w:tc>
          <w:tcPr>
            <w:tcW w:w="1119" w:type="dxa"/>
            <w:shd w:val="clear" w:color="auto" w:fill="auto"/>
            <w:noWrap/>
            <w:vAlign w:val="bottom"/>
            <w:hideMark/>
          </w:tcPr>
          <w:p w14:paraId="39D6DFBA" w14:textId="4F18241D"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245.5 </w:t>
            </w:r>
          </w:p>
        </w:tc>
        <w:tc>
          <w:tcPr>
            <w:tcW w:w="910" w:type="dxa"/>
            <w:shd w:val="clear" w:color="auto" w:fill="auto"/>
            <w:noWrap/>
            <w:vAlign w:val="bottom"/>
            <w:hideMark/>
          </w:tcPr>
          <w:p w14:paraId="0351B6A5"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9.4%</w:t>
            </w:r>
          </w:p>
        </w:tc>
      </w:tr>
      <w:tr w:rsidR="00C14564" w:rsidRPr="00C14564" w14:paraId="14B7C4E5" w14:textId="77777777" w:rsidTr="00665E01">
        <w:trPr>
          <w:trHeight w:val="255"/>
        </w:trPr>
        <w:tc>
          <w:tcPr>
            <w:tcW w:w="5399" w:type="dxa"/>
            <w:shd w:val="clear" w:color="auto" w:fill="auto"/>
            <w:noWrap/>
            <w:vAlign w:val="bottom"/>
            <w:hideMark/>
          </w:tcPr>
          <w:p w14:paraId="3D4426BD"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Impairment losses</w:t>
            </w:r>
          </w:p>
        </w:tc>
        <w:tc>
          <w:tcPr>
            <w:tcW w:w="1119" w:type="dxa"/>
            <w:shd w:val="clear" w:color="auto" w:fill="auto"/>
            <w:noWrap/>
            <w:vAlign w:val="bottom"/>
            <w:hideMark/>
          </w:tcPr>
          <w:p w14:paraId="7A8EE91D" w14:textId="52F1186B"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17.9 </w:t>
            </w:r>
          </w:p>
        </w:tc>
        <w:tc>
          <w:tcPr>
            <w:tcW w:w="910" w:type="dxa"/>
            <w:shd w:val="clear" w:color="auto" w:fill="auto"/>
            <w:noWrap/>
            <w:vAlign w:val="bottom"/>
            <w:hideMark/>
          </w:tcPr>
          <w:p w14:paraId="5791F02D"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0.7%</w:t>
            </w:r>
          </w:p>
        </w:tc>
      </w:tr>
      <w:tr w:rsidR="00C14564" w:rsidRPr="00C14564" w14:paraId="764509A6" w14:textId="77777777" w:rsidTr="00665E01">
        <w:trPr>
          <w:trHeight w:val="255"/>
        </w:trPr>
        <w:tc>
          <w:tcPr>
            <w:tcW w:w="5399" w:type="dxa"/>
            <w:shd w:val="clear" w:color="auto" w:fill="auto"/>
            <w:noWrap/>
            <w:vAlign w:val="bottom"/>
            <w:hideMark/>
          </w:tcPr>
          <w:p w14:paraId="690930CC"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Finance/borrowing costs</w:t>
            </w:r>
          </w:p>
        </w:tc>
        <w:tc>
          <w:tcPr>
            <w:tcW w:w="1119" w:type="dxa"/>
            <w:shd w:val="clear" w:color="auto" w:fill="auto"/>
            <w:noWrap/>
            <w:vAlign w:val="bottom"/>
            <w:hideMark/>
          </w:tcPr>
          <w:p w14:paraId="20A1F760" w14:textId="0E452506"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25.8 </w:t>
            </w:r>
          </w:p>
        </w:tc>
        <w:tc>
          <w:tcPr>
            <w:tcW w:w="910" w:type="dxa"/>
            <w:shd w:val="clear" w:color="auto" w:fill="auto"/>
            <w:noWrap/>
            <w:vAlign w:val="bottom"/>
            <w:hideMark/>
          </w:tcPr>
          <w:p w14:paraId="009BDB9F"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1.0%</w:t>
            </w:r>
          </w:p>
        </w:tc>
      </w:tr>
      <w:tr w:rsidR="00C14564" w:rsidRPr="00C14564" w14:paraId="159C5EAC" w14:textId="77777777" w:rsidTr="00665E01">
        <w:trPr>
          <w:trHeight w:val="255"/>
        </w:trPr>
        <w:tc>
          <w:tcPr>
            <w:tcW w:w="5399" w:type="dxa"/>
            <w:shd w:val="clear" w:color="auto" w:fill="auto"/>
            <w:noWrap/>
            <w:vAlign w:val="bottom"/>
            <w:hideMark/>
          </w:tcPr>
          <w:p w14:paraId="5190098F"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Revaluation decrement</w:t>
            </w:r>
          </w:p>
        </w:tc>
        <w:tc>
          <w:tcPr>
            <w:tcW w:w="1119" w:type="dxa"/>
            <w:shd w:val="clear" w:color="auto" w:fill="auto"/>
            <w:noWrap/>
            <w:vAlign w:val="bottom"/>
            <w:hideMark/>
          </w:tcPr>
          <w:p w14:paraId="1DCB99AE" w14:textId="66FA380D"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109.9 </w:t>
            </w:r>
          </w:p>
        </w:tc>
        <w:tc>
          <w:tcPr>
            <w:tcW w:w="910" w:type="dxa"/>
            <w:shd w:val="clear" w:color="auto" w:fill="auto"/>
            <w:noWrap/>
            <w:vAlign w:val="bottom"/>
            <w:hideMark/>
          </w:tcPr>
          <w:p w14:paraId="26D35CD0"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4.2%</w:t>
            </w:r>
          </w:p>
        </w:tc>
      </w:tr>
      <w:tr w:rsidR="00C14564" w:rsidRPr="00C14564" w14:paraId="45FB028A" w14:textId="77777777" w:rsidTr="00665E01">
        <w:trPr>
          <w:trHeight w:val="255"/>
        </w:trPr>
        <w:tc>
          <w:tcPr>
            <w:tcW w:w="5399" w:type="dxa"/>
            <w:shd w:val="clear" w:color="auto" w:fill="auto"/>
            <w:noWrap/>
            <w:vAlign w:val="bottom"/>
            <w:hideMark/>
          </w:tcPr>
          <w:p w14:paraId="2AE8AE6C" w14:textId="77777777" w:rsidR="00C14564" w:rsidRPr="00C14564" w:rsidRDefault="00C14564" w:rsidP="00C14564">
            <w:pPr>
              <w:spacing w:after="0"/>
              <w:rPr>
                <w:rFonts w:eastAsia="Times New Roman" w:cs="Arial"/>
                <w:color w:val="000000"/>
                <w:sz w:val="20"/>
                <w:szCs w:val="20"/>
                <w:lang w:eastAsia="en-AU"/>
              </w:rPr>
            </w:pPr>
            <w:r w:rsidRPr="00C14564">
              <w:rPr>
                <w:rFonts w:eastAsia="Times New Roman" w:cs="Arial"/>
                <w:color w:val="000000"/>
                <w:sz w:val="20"/>
                <w:szCs w:val="20"/>
                <w:lang w:eastAsia="en-AU"/>
              </w:rPr>
              <w:t>Other expenses</w:t>
            </w:r>
          </w:p>
        </w:tc>
        <w:tc>
          <w:tcPr>
            <w:tcW w:w="1119" w:type="dxa"/>
            <w:shd w:val="clear" w:color="auto" w:fill="auto"/>
            <w:noWrap/>
            <w:vAlign w:val="bottom"/>
            <w:hideMark/>
          </w:tcPr>
          <w:p w14:paraId="3B783914" w14:textId="75C60319"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 xml:space="preserve">58.8 </w:t>
            </w:r>
          </w:p>
        </w:tc>
        <w:tc>
          <w:tcPr>
            <w:tcW w:w="910" w:type="dxa"/>
            <w:shd w:val="clear" w:color="auto" w:fill="auto"/>
            <w:noWrap/>
            <w:vAlign w:val="bottom"/>
            <w:hideMark/>
          </w:tcPr>
          <w:p w14:paraId="0E3297EC" w14:textId="77777777" w:rsidR="00C14564" w:rsidRPr="00C14564" w:rsidRDefault="00C14564" w:rsidP="00665E01">
            <w:pPr>
              <w:spacing w:after="0"/>
              <w:jc w:val="right"/>
              <w:rPr>
                <w:rFonts w:eastAsia="Times New Roman" w:cs="Arial"/>
                <w:color w:val="000000"/>
                <w:sz w:val="20"/>
                <w:szCs w:val="20"/>
                <w:lang w:eastAsia="en-AU"/>
              </w:rPr>
            </w:pPr>
            <w:r w:rsidRPr="00C14564">
              <w:rPr>
                <w:rFonts w:eastAsia="Times New Roman" w:cs="Arial"/>
                <w:color w:val="000000"/>
                <w:sz w:val="20"/>
                <w:szCs w:val="20"/>
                <w:lang w:eastAsia="en-AU"/>
              </w:rPr>
              <w:t>2.3%</w:t>
            </w:r>
          </w:p>
        </w:tc>
      </w:tr>
      <w:tr w:rsidR="00C14564" w:rsidRPr="00C14564" w14:paraId="203394BF" w14:textId="77777777" w:rsidTr="00665E01">
        <w:trPr>
          <w:trHeight w:val="255"/>
        </w:trPr>
        <w:tc>
          <w:tcPr>
            <w:tcW w:w="5399" w:type="dxa"/>
            <w:shd w:val="clear" w:color="auto" w:fill="auto"/>
            <w:noWrap/>
            <w:vAlign w:val="bottom"/>
            <w:hideMark/>
          </w:tcPr>
          <w:p w14:paraId="499D3EC0" w14:textId="77777777" w:rsidR="00C14564" w:rsidRPr="00C14564" w:rsidRDefault="00C14564" w:rsidP="00C14564">
            <w:pPr>
              <w:spacing w:after="0"/>
              <w:rPr>
                <w:rFonts w:eastAsia="Times New Roman" w:cs="Arial"/>
                <w:b/>
                <w:bCs/>
                <w:sz w:val="20"/>
                <w:szCs w:val="20"/>
                <w:lang w:eastAsia="en-AU"/>
              </w:rPr>
            </w:pPr>
            <w:r w:rsidRPr="00C14564">
              <w:rPr>
                <w:rFonts w:eastAsia="Times New Roman" w:cs="Arial"/>
                <w:b/>
                <w:bCs/>
                <w:sz w:val="20"/>
                <w:szCs w:val="20"/>
                <w:lang w:eastAsia="en-AU"/>
              </w:rPr>
              <w:t>Total</w:t>
            </w:r>
          </w:p>
        </w:tc>
        <w:tc>
          <w:tcPr>
            <w:tcW w:w="1119" w:type="dxa"/>
            <w:shd w:val="clear" w:color="auto" w:fill="auto"/>
            <w:noWrap/>
            <w:vAlign w:val="bottom"/>
            <w:hideMark/>
          </w:tcPr>
          <w:p w14:paraId="307D24B1" w14:textId="77777777" w:rsidR="00C14564" w:rsidRPr="00C14564" w:rsidRDefault="00C14564" w:rsidP="00665E01">
            <w:pPr>
              <w:spacing w:after="0"/>
              <w:jc w:val="right"/>
              <w:rPr>
                <w:rFonts w:eastAsia="Times New Roman" w:cs="Arial"/>
                <w:b/>
                <w:bCs/>
                <w:sz w:val="20"/>
                <w:szCs w:val="20"/>
                <w:lang w:eastAsia="en-AU"/>
              </w:rPr>
            </w:pPr>
            <w:r w:rsidRPr="00C14564">
              <w:rPr>
                <w:rFonts w:eastAsia="Times New Roman" w:cs="Arial"/>
                <w:b/>
                <w:bCs/>
                <w:sz w:val="20"/>
                <w:szCs w:val="20"/>
                <w:lang w:eastAsia="en-AU"/>
              </w:rPr>
              <w:t>2,597.8</w:t>
            </w:r>
          </w:p>
        </w:tc>
        <w:tc>
          <w:tcPr>
            <w:tcW w:w="910" w:type="dxa"/>
            <w:shd w:val="clear" w:color="auto" w:fill="auto"/>
            <w:noWrap/>
            <w:vAlign w:val="bottom"/>
            <w:hideMark/>
          </w:tcPr>
          <w:p w14:paraId="4BF56514" w14:textId="77777777" w:rsidR="00C14564" w:rsidRPr="00C14564" w:rsidRDefault="00C14564" w:rsidP="00665E01">
            <w:pPr>
              <w:spacing w:after="0"/>
              <w:jc w:val="right"/>
              <w:rPr>
                <w:rFonts w:eastAsia="Times New Roman" w:cs="Arial"/>
                <w:b/>
                <w:bCs/>
                <w:color w:val="000000"/>
                <w:sz w:val="20"/>
                <w:szCs w:val="20"/>
                <w:lang w:eastAsia="en-AU"/>
              </w:rPr>
            </w:pPr>
            <w:r w:rsidRPr="00C14564">
              <w:rPr>
                <w:rFonts w:eastAsia="Times New Roman" w:cs="Arial"/>
                <w:b/>
                <w:bCs/>
                <w:color w:val="000000"/>
                <w:sz w:val="20"/>
                <w:szCs w:val="20"/>
                <w:lang w:eastAsia="en-AU"/>
              </w:rPr>
              <w:t>100.0%</w:t>
            </w:r>
          </w:p>
        </w:tc>
      </w:tr>
    </w:tbl>
    <w:p w14:paraId="111AE616" w14:textId="720B928B" w:rsidR="001C3B67" w:rsidRPr="00FC4067" w:rsidRDefault="001C3B67" w:rsidP="001C3B67">
      <w:pPr>
        <w:spacing w:line="259" w:lineRule="auto"/>
      </w:pPr>
      <w:r w:rsidRPr="00FC4067">
        <w:rPr>
          <w:b/>
          <w:color w:val="FF0000"/>
        </w:rPr>
        <w:br w:type="page"/>
      </w:r>
    </w:p>
    <w:p w14:paraId="6A269CB8" w14:textId="77777777" w:rsidR="001C3B67" w:rsidRPr="00FC4067" w:rsidRDefault="001C3B67" w:rsidP="00CF0A4C">
      <w:pPr>
        <w:sectPr w:rsidR="001C3B67" w:rsidRPr="00FC4067" w:rsidSect="001C3B67">
          <w:pgSz w:w="11906" w:h="16838"/>
          <w:pgMar w:top="1440" w:right="1021" w:bottom="1440" w:left="1021" w:header="709" w:footer="709" w:gutter="0"/>
          <w:cols w:space="708"/>
          <w:docGrid w:linePitch="360"/>
        </w:sectPr>
      </w:pPr>
    </w:p>
    <w:p w14:paraId="522A3330" w14:textId="1A6883F6" w:rsidR="00541191" w:rsidRPr="002F0A6A" w:rsidRDefault="00541191" w:rsidP="002F0A6A">
      <w:pPr>
        <w:pStyle w:val="Heading1"/>
      </w:pPr>
      <w:bookmarkStart w:id="120" w:name="_Toc494984661"/>
      <w:r w:rsidRPr="002F0A6A">
        <w:lastRenderedPageBreak/>
        <w:t>Appendix A — Compliance Checklist</w:t>
      </w:r>
      <w:bookmarkEnd w:id="120"/>
    </w:p>
    <w:tbl>
      <w:tblPr>
        <w:tblW w:w="0" w:type="auto"/>
        <w:tblLayout w:type="fixed"/>
        <w:tblCellMar>
          <w:left w:w="0" w:type="dxa"/>
          <w:right w:w="0" w:type="dxa"/>
        </w:tblCellMar>
        <w:tblLook w:val="04A0" w:firstRow="1" w:lastRow="0" w:firstColumn="1" w:lastColumn="0" w:noHBand="0" w:noVBand="1"/>
      </w:tblPr>
      <w:tblGrid>
        <w:gridCol w:w="1502"/>
        <w:gridCol w:w="4080"/>
        <w:gridCol w:w="2419"/>
        <w:gridCol w:w="1239"/>
      </w:tblGrid>
      <w:tr w:rsidR="00541191" w:rsidRPr="00FC4067" w14:paraId="00E9751C" w14:textId="77777777" w:rsidTr="00040E2E">
        <w:trPr>
          <w:trHeight w:hRule="exact" w:val="835"/>
        </w:trPr>
        <w:tc>
          <w:tcPr>
            <w:tcW w:w="5582" w:type="dxa"/>
            <w:gridSpan w:val="2"/>
            <w:tcBorders>
              <w:top w:val="single" w:sz="4" w:space="0" w:color="000000"/>
              <w:left w:val="none" w:sz="0" w:space="0" w:color="020000"/>
              <w:bottom w:val="single" w:sz="4" w:space="0" w:color="000000"/>
              <w:right w:val="single" w:sz="4" w:space="0" w:color="000000"/>
            </w:tcBorders>
            <w:vAlign w:val="center"/>
          </w:tcPr>
          <w:p w14:paraId="37FAA05D" w14:textId="77777777" w:rsidR="00541191" w:rsidRPr="00FC4067" w:rsidRDefault="00541191" w:rsidP="00040E2E">
            <w:pPr>
              <w:spacing w:before="334" w:after="319" w:line="173" w:lineRule="exact"/>
              <w:ind w:left="110"/>
              <w:textAlignment w:val="baseline"/>
              <w:rPr>
                <w:rFonts w:eastAsia="Arial" w:cs="Arial"/>
                <w:color w:val="000000"/>
                <w:sz w:val="15"/>
              </w:rPr>
            </w:pPr>
            <w:r w:rsidRPr="00FC4067">
              <w:rPr>
                <w:rFonts w:eastAsia="Arial" w:cs="Arial"/>
                <w:color w:val="000000"/>
                <w:sz w:val="15"/>
              </w:rPr>
              <w:t>Summary of requirement</w:t>
            </w:r>
          </w:p>
        </w:tc>
        <w:tc>
          <w:tcPr>
            <w:tcW w:w="2419" w:type="dxa"/>
            <w:tcBorders>
              <w:top w:val="single" w:sz="4" w:space="0" w:color="000000"/>
              <w:left w:val="single" w:sz="4" w:space="0" w:color="000000"/>
              <w:bottom w:val="single" w:sz="4" w:space="0" w:color="000000"/>
              <w:right w:val="single" w:sz="4" w:space="0" w:color="000000"/>
            </w:tcBorders>
            <w:vAlign w:val="center"/>
          </w:tcPr>
          <w:p w14:paraId="24E6E727" w14:textId="77777777" w:rsidR="00541191" w:rsidRPr="00FC4067" w:rsidRDefault="00541191" w:rsidP="00040E2E">
            <w:pPr>
              <w:spacing w:before="348" w:after="305" w:line="173" w:lineRule="exact"/>
              <w:ind w:right="225"/>
              <w:jc w:val="right"/>
              <w:textAlignment w:val="baseline"/>
              <w:rPr>
                <w:rFonts w:eastAsia="Arial" w:cs="Arial"/>
                <w:color w:val="000000"/>
                <w:sz w:val="15"/>
              </w:rPr>
            </w:pPr>
            <w:r w:rsidRPr="00FC4067">
              <w:rPr>
                <w:rFonts w:eastAsia="Arial" w:cs="Arial"/>
                <w:color w:val="000000"/>
                <w:sz w:val="15"/>
              </w:rPr>
              <w:t>Basis for requirement</w:t>
            </w:r>
          </w:p>
        </w:tc>
        <w:tc>
          <w:tcPr>
            <w:tcW w:w="1239" w:type="dxa"/>
            <w:tcBorders>
              <w:top w:val="single" w:sz="4" w:space="0" w:color="000000"/>
              <w:left w:val="single" w:sz="4" w:space="0" w:color="000000"/>
              <w:bottom w:val="single" w:sz="4" w:space="0" w:color="000000"/>
              <w:right w:val="none" w:sz="0" w:space="0" w:color="020000"/>
            </w:tcBorders>
            <w:vAlign w:val="center"/>
          </w:tcPr>
          <w:p w14:paraId="493E9510" w14:textId="77777777" w:rsidR="00541191" w:rsidRPr="00FC4067" w:rsidRDefault="00541191" w:rsidP="00040E2E">
            <w:pPr>
              <w:spacing w:before="128" w:after="98" w:line="200" w:lineRule="exact"/>
              <w:jc w:val="center"/>
              <w:textAlignment w:val="baseline"/>
              <w:rPr>
                <w:rFonts w:eastAsia="Arial" w:cs="Arial"/>
                <w:color w:val="000000"/>
                <w:sz w:val="15"/>
              </w:rPr>
            </w:pPr>
            <w:r w:rsidRPr="00FC4067">
              <w:rPr>
                <w:rFonts w:eastAsia="Arial" w:cs="Arial"/>
                <w:color w:val="000000"/>
                <w:sz w:val="15"/>
              </w:rPr>
              <w:t xml:space="preserve">Annual </w:t>
            </w:r>
            <w:r w:rsidRPr="00FC4067">
              <w:rPr>
                <w:rFonts w:eastAsia="Arial" w:cs="Arial"/>
                <w:color w:val="000000"/>
                <w:sz w:val="15"/>
              </w:rPr>
              <w:br/>
              <w:t xml:space="preserve">report </w:t>
            </w:r>
            <w:r w:rsidRPr="00FC4067">
              <w:rPr>
                <w:rFonts w:eastAsia="Arial" w:cs="Arial"/>
                <w:color w:val="000000"/>
                <w:sz w:val="15"/>
              </w:rPr>
              <w:br/>
              <w:t>reference</w:t>
            </w:r>
          </w:p>
        </w:tc>
      </w:tr>
      <w:tr w:rsidR="00541191" w:rsidRPr="00FC4067" w14:paraId="052E5B39" w14:textId="77777777" w:rsidTr="00040E2E">
        <w:trPr>
          <w:trHeight w:hRule="exact" w:val="567"/>
        </w:trPr>
        <w:tc>
          <w:tcPr>
            <w:tcW w:w="1502" w:type="dxa"/>
            <w:tcBorders>
              <w:top w:val="single" w:sz="4" w:space="0" w:color="000000"/>
              <w:left w:val="none" w:sz="0" w:space="0" w:color="020000"/>
              <w:bottom w:val="single" w:sz="4" w:space="0" w:color="000000"/>
              <w:right w:val="single" w:sz="4" w:space="0" w:color="000000"/>
            </w:tcBorders>
          </w:tcPr>
          <w:p w14:paraId="173E7509" w14:textId="77777777" w:rsidR="00541191" w:rsidRPr="00FC4067" w:rsidRDefault="00541191" w:rsidP="00040E2E">
            <w:pPr>
              <w:spacing w:before="98" w:after="121" w:line="174" w:lineRule="exact"/>
              <w:ind w:left="144"/>
              <w:textAlignment w:val="baseline"/>
              <w:rPr>
                <w:rFonts w:eastAsia="Arial" w:cs="Arial"/>
                <w:color w:val="000000"/>
                <w:spacing w:val="8"/>
                <w:sz w:val="15"/>
              </w:rPr>
            </w:pPr>
            <w:r w:rsidRPr="00FC4067">
              <w:rPr>
                <w:rFonts w:eastAsia="Arial" w:cs="Arial"/>
                <w:color w:val="000000"/>
                <w:spacing w:val="8"/>
                <w:sz w:val="15"/>
              </w:rPr>
              <w:t>Letter of compliance</w:t>
            </w:r>
          </w:p>
        </w:tc>
        <w:tc>
          <w:tcPr>
            <w:tcW w:w="4080" w:type="dxa"/>
            <w:tcBorders>
              <w:top w:val="single" w:sz="4" w:space="0" w:color="000000"/>
              <w:left w:val="single" w:sz="4" w:space="0" w:color="000000"/>
              <w:bottom w:val="single" w:sz="4" w:space="0" w:color="000000"/>
              <w:right w:val="single" w:sz="4" w:space="0" w:color="000000"/>
            </w:tcBorders>
          </w:tcPr>
          <w:p w14:paraId="521CA725" w14:textId="77777777" w:rsidR="00541191" w:rsidRPr="00FC4067" w:rsidRDefault="00541191" w:rsidP="00DC4782">
            <w:pPr>
              <w:numPr>
                <w:ilvl w:val="0"/>
                <w:numId w:val="17"/>
              </w:numPr>
              <w:tabs>
                <w:tab w:val="clear" w:pos="216"/>
                <w:tab w:val="left" w:pos="360"/>
              </w:tabs>
              <w:spacing w:before="107" w:after="100" w:line="180" w:lineRule="exact"/>
              <w:ind w:left="360" w:right="108" w:hanging="216"/>
              <w:textAlignment w:val="baseline"/>
              <w:rPr>
                <w:rFonts w:eastAsia="Arial" w:cs="Arial"/>
                <w:color w:val="000000"/>
                <w:spacing w:val="6"/>
                <w:sz w:val="15"/>
              </w:rPr>
            </w:pPr>
            <w:r w:rsidRPr="00FC4067">
              <w:rPr>
                <w:rFonts w:eastAsia="Arial" w:cs="Arial"/>
                <w:color w:val="000000"/>
                <w:spacing w:val="6"/>
                <w:sz w:val="15"/>
              </w:rPr>
              <w:t>A letter of compliance from the accountable officer or statutory body to the relevant Minister/s</w:t>
            </w:r>
          </w:p>
        </w:tc>
        <w:tc>
          <w:tcPr>
            <w:tcW w:w="2419" w:type="dxa"/>
            <w:tcBorders>
              <w:top w:val="single" w:sz="4" w:space="0" w:color="000000"/>
              <w:left w:val="single" w:sz="4" w:space="0" w:color="000000"/>
              <w:bottom w:val="single" w:sz="4" w:space="0" w:color="000000"/>
              <w:right w:val="single" w:sz="4" w:space="0" w:color="000000"/>
            </w:tcBorders>
          </w:tcPr>
          <w:p w14:paraId="304529B8" w14:textId="77777777" w:rsidR="00541191" w:rsidRPr="00FC4067" w:rsidRDefault="00541191" w:rsidP="00040E2E">
            <w:pPr>
              <w:spacing w:before="113" w:after="281" w:line="173" w:lineRule="exact"/>
              <w:ind w:left="82"/>
              <w:textAlignment w:val="baseline"/>
              <w:rPr>
                <w:rFonts w:eastAsia="Arial" w:cs="Arial"/>
                <w:color w:val="000000"/>
                <w:sz w:val="15"/>
              </w:rPr>
            </w:pPr>
            <w:r w:rsidRPr="00FC4067">
              <w:rPr>
                <w:rFonts w:eastAsia="Arial" w:cs="Arial"/>
                <w:color w:val="000000"/>
                <w:sz w:val="15"/>
              </w:rPr>
              <w:t>ARRs — section 7</w:t>
            </w:r>
          </w:p>
        </w:tc>
        <w:tc>
          <w:tcPr>
            <w:tcW w:w="1239" w:type="dxa"/>
            <w:tcBorders>
              <w:top w:val="single" w:sz="4" w:space="0" w:color="000000"/>
              <w:left w:val="single" w:sz="4" w:space="0" w:color="000000"/>
              <w:bottom w:val="single" w:sz="4" w:space="0" w:color="000000"/>
              <w:right w:val="none" w:sz="0" w:space="0" w:color="020000"/>
            </w:tcBorders>
          </w:tcPr>
          <w:p w14:paraId="685E4FF5"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24F95888" w14:textId="77777777" w:rsidTr="00040E2E">
        <w:trPr>
          <w:trHeight w:hRule="exact" w:val="676"/>
        </w:trPr>
        <w:tc>
          <w:tcPr>
            <w:tcW w:w="1502" w:type="dxa"/>
            <w:vMerge w:val="restart"/>
            <w:tcBorders>
              <w:top w:val="single" w:sz="4" w:space="0" w:color="000000"/>
              <w:left w:val="none" w:sz="0" w:space="0" w:color="020000"/>
              <w:bottom w:val="single" w:sz="0" w:space="0" w:color="000000"/>
              <w:right w:val="single" w:sz="4" w:space="0" w:color="000000"/>
            </w:tcBorders>
          </w:tcPr>
          <w:p w14:paraId="5E6E5ECA" w14:textId="77777777" w:rsidR="00541191" w:rsidRPr="00FC4067" w:rsidRDefault="00541191" w:rsidP="00040E2E">
            <w:pPr>
              <w:spacing w:before="96" w:after="2913" w:line="173" w:lineRule="exact"/>
              <w:ind w:left="110"/>
              <w:textAlignment w:val="baseline"/>
              <w:rPr>
                <w:rFonts w:eastAsia="Arial" w:cs="Arial"/>
                <w:color w:val="000000"/>
                <w:sz w:val="15"/>
              </w:rPr>
            </w:pPr>
            <w:r w:rsidRPr="00FC4067">
              <w:rPr>
                <w:rFonts w:eastAsia="Arial" w:cs="Arial"/>
                <w:color w:val="000000"/>
                <w:sz w:val="15"/>
              </w:rPr>
              <w:t>Accessibility</w:t>
            </w:r>
          </w:p>
        </w:tc>
        <w:tc>
          <w:tcPr>
            <w:tcW w:w="4080" w:type="dxa"/>
            <w:tcBorders>
              <w:top w:val="single" w:sz="4" w:space="0" w:color="000000"/>
              <w:left w:val="single" w:sz="4" w:space="0" w:color="000000"/>
              <w:bottom w:val="single" w:sz="4" w:space="0" w:color="000000"/>
              <w:right w:val="single" w:sz="4" w:space="0" w:color="000000"/>
            </w:tcBorders>
          </w:tcPr>
          <w:p w14:paraId="4B37575B" w14:textId="77777777" w:rsidR="00541191" w:rsidRPr="00FC4067" w:rsidRDefault="00541191" w:rsidP="00DC4782">
            <w:pPr>
              <w:numPr>
                <w:ilvl w:val="0"/>
                <w:numId w:val="18"/>
              </w:numPr>
              <w:tabs>
                <w:tab w:val="clear" w:pos="288"/>
                <w:tab w:val="left" w:pos="360"/>
              </w:tabs>
              <w:spacing w:before="95" w:after="0" w:line="188" w:lineRule="exact"/>
              <w:ind w:left="72"/>
              <w:textAlignment w:val="baseline"/>
              <w:rPr>
                <w:rFonts w:eastAsia="Arial" w:cs="Arial"/>
                <w:color w:val="000000"/>
                <w:sz w:val="15"/>
              </w:rPr>
            </w:pPr>
            <w:r w:rsidRPr="00FC4067">
              <w:rPr>
                <w:rFonts w:eastAsia="Arial" w:cs="Arial"/>
                <w:color w:val="000000"/>
                <w:sz w:val="15"/>
              </w:rPr>
              <w:t>Table of contents</w:t>
            </w:r>
          </w:p>
          <w:p w14:paraId="251F0E15" w14:textId="77777777" w:rsidR="00541191" w:rsidRPr="00FC4067" w:rsidRDefault="00541191" w:rsidP="00DC4782">
            <w:pPr>
              <w:numPr>
                <w:ilvl w:val="0"/>
                <w:numId w:val="18"/>
              </w:numPr>
              <w:tabs>
                <w:tab w:val="clear" w:pos="288"/>
                <w:tab w:val="left" w:pos="360"/>
              </w:tabs>
              <w:spacing w:before="94" w:after="97" w:line="188" w:lineRule="exact"/>
              <w:ind w:left="72"/>
              <w:textAlignment w:val="baseline"/>
              <w:rPr>
                <w:rFonts w:eastAsia="Arial" w:cs="Arial"/>
                <w:color w:val="000000"/>
                <w:sz w:val="15"/>
              </w:rPr>
            </w:pPr>
            <w:r w:rsidRPr="00FC4067">
              <w:rPr>
                <w:rFonts w:eastAsia="Arial" w:cs="Arial"/>
                <w:color w:val="000000"/>
                <w:sz w:val="15"/>
              </w:rPr>
              <w:t>Glossary</w:t>
            </w:r>
          </w:p>
        </w:tc>
        <w:tc>
          <w:tcPr>
            <w:tcW w:w="2419" w:type="dxa"/>
            <w:tcBorders>
              <w:top w:val="single" w:sz="4" w:space="0" w:color="000000"/>
              <w:left w:val="single" w:sz="4" w:space="0" w:color="000000"/>
              <w:bottom w:val="single" w:sz="4" w:space="0" w:color="000000"/>
              <w:right w:val="single" w:sz="4" w:space="0" w:color="000000"/>
            </w:tcBorders>
          </w:tcPr>
          <w:p w14:paraId="336C152B" w14:textId="77777777" w:rsidR="00541191" w:rsidRPr="00FC4067" w:rsidRDefault="00541191" w:rsidP="00040E2E">
            <w:pPr>
              <w:spacing w:before="113" w:after="376" w:line="173" w:lineRule="exact"/>
              <w:ind w:left="82"/>
              <w:textAlignment w:val="baseline"/>
              <w:rPr>
                <w:rFonts w:eastAsia="Arial" w:cs="Arial"/>
                <w:color w:val="000000"/>
                <w:sz w:val="15"/>
              </w:rPr>
            </w:pPr>
            <w:r w:rsidRPr="00FC4067">
              <w:rPr>
                <w:rFonts w:eastAsia="Arial" w:cs="Arial"/>
                <w:color w:val="000000"/>
                <w:sz w:val="15"/>
              </w:rPr>
              <w:t>ARRs — section 9.1</w:t>
            </w:r>
          </w:p>
        </w:tc>
        <w:tc>
          <w:tcPr>
            <w:tcW w:w="1239" w:type="dxa"/>
            <w:tcBorders>
              <w:top w:val="single" w:sz="4" w:space="0" w:color="000000"/>
              <w:left w:val="single" w:sz="4" w:space="0" w:color="000000"/>
              <w:bottom w:val="single" w:sz="4" w:space="0" w:color="000000"/>
              <w:right w:val="none" w:sz="0" w:space="0" w:color="020000"/>
            </w:tcBorders>
          </w:tcPr>
          <w:p w14:paraId="5474EEC8"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342F448F" w14:textId="77777777" w:rsidTr="00040E2E">
        <w:trPr>
          <w:trHeight w:hRule="exact" w:val="389"/>
        </w:trPr>
        <w:tc>
          <w:tcPr>
            <w:tcW w:w="1502" w:type="dxa"/>
            <w:vMerge/>
            <w:tcBorders>
              <w:top w:val="single" w:sz="0" w:space="0" w:color="000000"/>
              <w:left w:val="none" w:sz="0" w:space="0" w:color="020000"/>
              <w:bottom w:val="single" w:sz="0" w:space="0" w:color="000000"/>
              <w:right w:val="single" w:sz="4" w:space="0" w:color="000000"/>
            </w:tcBorders>
          </w:tcPr>
          <w:p w14:paraId="0CC62623"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28B1C031" w14:textId="77777777" w:rsidR="00541191" w:rsidRPr="00FC4067" w:rsidRDefault="00541191" w:rsidP="00DC4782">
            <w:pPr>
              <w:numPr>
                <w:ilvl w:val="0"/>
                <w:numId w:val="18"/>
              </w:numPr>
              <w:tabs>
                <w:tab w:val="clear" w:pos="288"/>
                <w:tab w:val="left" w:pos="360"/>
              </w:tabs>
              <w:spacing w:before="94" w:after="93" w:line="188" w:lineRule="exact"/>
              <w:ind w:left="72"/>
              <w:textAlignment w:val="baseline"/>
              <w:rPr>
                <w:rFonts w:eastAsia="Arial" w:cs="Arial"/>
                <w:color w:val="000000"/>
                <w:sz w:val="15"/>
              </w:rPr>
            </w:pPr>
            <w:r w:rsidRPr="00FC4067">
              <w:rPr>
                <w:rFonts w:eastAsia="Arial" w:cs="Arial"/>
                <w:color w:val="000000"/>
                <w:sz w:val="15"/>
              </w:rPr>
              <w:t>Public availability</w:t>
            </w:r>
          </w:p>
        </w:tc>
        <w:tc>
          <w:tcPr>
            <w:tcW w:w="2419" w:type="dxa"/>
            <w:tcBorders>
              <w:top w:val="single" w:sz="4" w:space="0" w:color="000000"/>
              <w:left w:val="single" w:sz="4" w:space="0" w:color="000000"/>
              <w:bottom w:val="single" w:sz="4" w:space="0" w:color="000000"/>
              <w:right w:val="single" w:sz="4" w:space="0" w:color="000000"/>
            </w:tcBorders>
            <w:vAlign w:val="center"/>
          </w:tcPr>
          <w:p w14:paraId="4626E979" w14:textId="77777777" w:rsidR="00541191" w:rsidRPr="00FC4067" w:rsidRDefault="00541191" w:rsidP="00040E2E">
            <w:pPr>
              <w:spacing w:before="111" w:after="91" w:line="173" w:lineRule="exact"/>
              <w:ind w:left="82"/>
              <w:textAlignment w:val="baseline"/>
              <w:rPr>
                <w:rFonts w:eastAsia="Arial" w:cs="Arial"/>
                <w:color w:val="000000"/>
                <w:sz w:val="15"/>
              </w:rPr>
            </w:pPr>
            <w:r w:rsidRPr="00FC4067">
              <w:rPr>
                <w:rFonts w:eastAsia="Arial" w:cs="Arial"/>
                <w:color w:val="000000"/>
                <w:sz w:val="15"/>
              </w:rPr>
              <w:t>ARRs — section 9.2</w:t>
            </w:r>
          </w:p>
        </w:tc>
        <w:tc>
          <w:tcPr>
            <w:tcW w:w="1239" w:type="dxa"/>
            <w:tcBorders>
              <w:top w:val="single" w:sz="4" w:space="0" w:color="000000"/>
              <w:left w:val="single" w:sz="4" w:space="0" w:color="000000"/>
              <w:bottom w:val="single" w:sz="4" w:space="0" w:color="000000"/>
              <w:right w:val="none" w:sz="0" w:space="0" w:color="020000"/>
            </w:tcBorders>
          </w:tcPr>
          <w:p w14:paraId="5DD7A058"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66E144AD" w14:textId="77777777" w:rsidTr="00040E2E">
        <w:trPr>
          <w:trHeight w:hRule="exact" w:val="826"/>
        </w:trPr>
        <w:tc>
          <w:tcPr>
            <w:tcW w:w="1502" w:type="dxa"/>
            <w:vMerge/>
            <w:tcBorders>
              <w:top w:val="single" w:sz="0" w:space="0" w:color="000000"/>
              <w:left w:val="none" w:sz="0" w:space="0" w:color="020000"/>
              <w:bottom w:val="single" w:sz="0" w:space="0" w:color="000000"/>
              <w:right w:val="single" w:sz="4" w:space="0" w:color="000000"/>
            </w:tcBorders>
          </w:tcPr>
          <w:p w14:paraId="1465EDB4"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tcPr>
          <w:p w14:paraId="255CDE5F" w14:textId="77777777" w:rsidR="00541191" w:rsidRPr="00FC4067" w:rsidRDefault="00541191" w:rsidP="00DC4782">
            <w:pPr>
              <w:numPr>
                <w:ilvl w:val="0"/>
                <w:numId w:val="18"/>
              </w:numPr>
              <w:tabs>
                <w:tab w:val="clear" w:pos="288"/>
                <w:tab w:val="left" w:pos="360"/>
              </w:tabs>
              <w:spacing w:before="95" w:after="538" w:line="188" w:lineRule="exact"/>
              <w:ind w:left="72"/>
              <w:textAlignment w:val="baseline"/>
              <w:rPr>
                <w:rFonts w:eastAsia="Arial" w:cs="Arial"/>
                <w:color w:val="000000"/>
                <w:sz w:val="15"/>
              </w:rPr>
            </w:pPr>
            <w:r w:rsidRPr="00FC4067">
              <w:rPr>
                <w:rFonts w:eastAsia="Arial" w:cs="Arial"/>
                <w:color w:val="000000"/>
                <w:sz w:val="15"/>
              </w:rPr>
              <w:t>Interpreter service statement</w:t>
            </w:r>
          </w:p>
        </w:tc>
        <w:tc>
          <w:tcPr>
            <w:tcW w:w="2419" w:type="dxa"/>
            <w:tcBorders>
              <w:top w:val="single" w:sz="4" w:space="0" w:color="000000"/>
              <w:left w:val="single" w:sz="4" w:space="0" w:color="000000"/>
              <w:bottom w:val="single" w:sz="4" w:space="0" w:color="000000"/>
              <w:right w:val="single" w:sz="4" w:space="0" w:color="000000"/>
            </w:tcBorders>
          </w:tcPr>
          <w:p w14:paraId="76CB9D07" w14:textId="77777777" w:rsidR="00541191" w:rsidRPr="00FC4067" w:rsidRDefault="00541191" w:rsidP="00040E2E">
            <w:pPr>
              <w:spacing w:before="105" w:line="178" w:lineRule="exact"/>
              <w:ind w:left="144"/>
              <w:textAlignment w:val="baseline"/>
              <w:rPr>
                <w:rFonts w:eastAsia="Arial" w:cs="Arial"/>
                <w:i/>
                <w:color w:val="000000"/>
                <w:sz w:val="15"/>
              </w:rPr>
            </w:pPr>
            <w:r w:rsidRPr="00FC4067">
              <w:rPr>
                <w:rFonts w:eastAsia="Arial" w:cs="Arial"/>
                <w:i/>
                <w:color w:val="000000"/>
                <w:sz w:val="15"/>
              </w:rPr>
              <w:t>Queensland Government Language Services Policy</w:t>
            </w:r>
          </w:p>
          <w:p w14:paraId="7C54106C" w14:textId="77777777" w:rsidR="00541191" w:rsidRPr="00FC4067" w:rsidRDefault="00541191" w:rsidP="00040E2E">
            <w:pPr>
              <w:spacing w:before="99" w:after="88" w:line="173" w:lineRule="exact"/>
              <w:ind w:left="72"/>
              <w:textAlignment w:val="baseline"/>
              <w:rPr>
                <w:rFonts w:eastAsia="Arial" w:cs="Arial"/>
                <w:color w:val="000000"/>
                <w:sz w:val="15"/>
              </w:rPr>
            </w:pPr>
            <w:r w:rsidRPr="00FC4067">
              <w:rPr>
                <w:rFonts w:eastAsia="Arial" w:cs="Arial"/>
                <w:color w:val="000000"/>
                <w:sz w:val="15"/>
              </w:rPr>
              <w:t>ARRs — section 9.3</w:t>
            </w:r>
          </w:p>
        </w:tc>
        <w:tc>
          <w:tcPr>
            <w:tcW w:w="1239" w:type="dxa"/>
            <w:tcBorders>
              <w:top w:val="single" w:sz="4" w:space="0" w:color="000000"/>
              <w:left w:val="single" w:sz="4" w:space="0" w:color="000000"/>
              <w:bottom w:val="single" w:sz="4" w:space="0" w:color="000000"/>
              <w:right w:val="none" w:sz="0" w:space="0" w:color="020000"/>
            </w:tcBorders>
          </w:tcPr>
          <w:p w14:paraId="4006FB3E"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5B5F9E54" w14:textId="77777777" w:rsidTr="00040E2E">
        <w:trPr>
          <w:trHeight w:hRule="exact" w:val="653"/>
        </w:trPr>
        <w:tc>
          <w:tcPr>
            <w:tcW w:w="1502" w:type="dxa"/>
            <w:vMerge/>
            <w:tcBorders>
              <w:top w:val="single" w:sz="0" w:space="0" w:color="000000"/>
              <w:left w:val="none" w:sz="0" w:space="0" w:color="020000"/>
              <w:bottom w:val="single" w:sz="0" w:space="0" w:color="000000"/>
              <w:right w:val="single" w:sz="4" w:space="0" w:color="000000"/>
            </w:tcBorders>
          </w:tcPr>
          <w:p w14:paraId="6B1481CD"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tcPr>
          <w:p w14:paraId="0CC49754" w14:textId="77777777" w:rsidR="00541191" w:rsidRPr="00FC4067" w:rsidRDefault="00541191" w:rsidP="00DC4782">
            <w:pPr>
              <w:numPr>
                <w:ilvl w:val="0"/>
                <w:numId w:val="17"/>
              </w:numPr>
              <w:tabs>
                <w:tab w:val="clear" w:pos="216"/>
                <w:tab w:val="left" w:pos="288"/>
              </w:tabs>
              <w:spacing w:before="95" w:after="360" w:line="188" w:lineRule="exact"/>
              <w:ind w:left="72"/>
              <w:textAlignment w:val="baseline"/>
              <w:rPr>
                <w:rFonts w:eastAsia="Arial" w:cs="Arial"/>
                <w:color w:val="000000"/>
                <w:sz w:val="15"/>
              </w:rPr>
            </w:pPr>
            <w:r w:rsidRPr="00FC4067">
              <w:rPr>
                <w:rFonts w:eastAsia="Arial" w:cs="Arial"/>
                <w:color w:val="000000"/>
                <w:sz w:val="15"/>
              </w:rPr>
              <w:t>Copyright notice</w:t>
            </w:r>
          </w:p>
        </w:tc>
        <w:tc>
          <w:tcPr>
            <w:tcW w:w="2419" w:type="dxa"/>
            <w:tcBorders>
              <w:top w:val="single" w:sz="4" w:space="0" w:color="000000"/>
              <w:left w:val="single" w:sz="4" w:space="0" w:color="000000"/>
              <w:bottom w:val="single" w:sz="4" w:space="0" w:color="000000"/>
              <w:right w:val="single" w:sz="4" w:space="0" w:color="000000"/>
            </w:tcBorders>
            <w:vAlign w:val="center"/>
          </w:tcPr>
          <w:p w14:paraId="6CEE1CBF" w14:textId="77777777" w:rsidR="00541191" w:rsidRPr="00FC4067" w:rsidRDefault="00541191" w:rsidP="00040E2E">
            <w:pPr>
              <w:spacing w:after="84" w:line="273" w:lineRule="exact"/>
              <w:ind w:left="108"/>
              <w:textAlignment w:val="baseline"/>
              <w:rPr>
                <w:rFonts w:eastAsia="Arial" w:cs="Arial"/>
                <w:i/>
                <w:color w:val="000000"/>
                <w:sz w:val="15"/>
              </w:rPr>
            </w:pPr>
            <w:r w:rsidRPr="00FC4067">
              <w:rPr>
                <w:rFonts w:eastAsia="Arial" w:cs="Arial"/>
                <w:i/>
                <w:color w:val="000000"/>
                <w:sz w:val="15"/>
              </w:rPr>
              <w:t xml:space="preserve">Copyright Act 1968 </w:t>
            </w:r>
            <w:r w:rsidRPr="00FC4067">
              <w:rPr>
                <w:rFonts w:eastAsia="Arial" w:cs="Arial"/>
                <w:i/>
                <w:color w:val="000000"/>
                <w:sz w:val="15"/>
              </w:rPr>
              <w:br/>
            </w:r>
            <w:r w:rsidRPr="00FC4067">
              <w:rPr>
                <w:rFonts w:eastAsia="Arial" w:cs="Arial"/>
                <w:color w:val="000000"/>
                <w:sz w:val="15"/>
              </w:rPr>
              <w:t>ARRs — section 9.4</w:t>
            </w:r>
          </w:p>
        </w:tc>
        <w:tc>
          <w:tcPr>
            <w:tcW w:w="1239" w:type="dxa"/>
            <w:tcBorders>
              <w:top w:val="single" w:sz="4" w:space="0" w:color="000000"/>
              <w:left w:val="single" w:sz="4" w:space="0" w:color="000000"/>
              <w:bottom w:val="single" w:sz="4" w:space="0" w:color="000000"/>
              <w:right w:val="none" w:sz="0" w:space="0" w:color="020000"/>
            </w:tcBorders>
          </w:tcPr>
          <w:p w14:paraId="05D1C42D"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21709477" w14:textId="77777777" w:rsidTr="00040E2E">
        <w:trPr>
          <w:trHeight w:hRule="exact" w:val="648"/>
        </w:trPr>
        <w:tc>
          <w:tcPr>
            <w:tcW w:w="1502" w:type="dxa"/>
            <w:vMerge/>
            <w:tcBorders>
              <w:top w:val="single" w:sz="0" w:space="0" w:color="000000"/>
              <w:left w:val="none" w:sz="0" w:space="0" w:color="020000"/>
              <w:bottom w:val="single" w:sz="4" w:space="0" w:color="000000"/>
              <w:right w:val="single" w:sz="4" w:space="0" w:color="000000"/>
            </w:tcBorders>
          </w:tcPr>
          <w:p w14:paraId="7E49EE41"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tcPr>
          <w:p w14:paraId="75462979" w14:textId="77777777" w:rsidR="00541191" w:rsidRPr="00FC4067" w:rsidRDefault="00541191" w:rsidP="00DC4782">
            <w:pPr>
              <w:numPr>
                <w:ilvl w:val="0"/>
                <w:numId w:val="18"/>
              </w:numPr>
              <w:tabs>
                <w:tab w:val="clear" w:pos="288"/>
                <w:tab w:val="left" w:pos="360"/>
              </w:tabs>
              <w:spacing w:before="94" w:after="355" w:line="189" w:lineRule="exact"/>
              <w:ind w:left="72"/>
              <w:textAlignment w:val="baseline"/>
              <w:rPr>
                <w:rFonts w:eastAsia="Arial" w:cs="Arial"/>
                <w:color w:val="000000"/>
                <w:sz w:val="15"/>
              </w:rPr>
            </w:pPr>
            <w:r w:rsidRPr="00FC4067">
              <w:rPr>
                <w:rFonts w:eastAsia="Arial" w:cs="Arial"/>
                <w:color w:val="000000"/>
                <w:sz w:val="15"/>
              </w:rPr>
              <w:t>Information Licensing</w:t>
            </w:r>
          </w:p>
        </w:tc>
        <w:tc>
          <w:tcPr>
            <w:tcW w:w="2419" w:type="dxa"/>
            <w:tcBorders>
              <w:top w:val="single" w:sz="4" w:space="0" w:color="000000"/>
              <w:left w:val="single" w:sz="4" w:space="0" w:color="000000"/>
              <w:bottom w:val="single" w:sz="4" w:space="0" w:color="000000"/>
              <w:right w:val="single" w:sz="4" w:space="0" w:color="000000"/>
            </w:tcBorders>
            <w:vAlign w:val="center"/>
          </w:tcPr>
          <w:p w14:paraId="1FB1FC86" w14:textId="77777777" w:rsidR="00541191" w:rsidRPr="00FC4067" w:rsidRDefault="00541191" w:rsidP="00040E2E">
            <w:pPr>
              <w:spacing w:after="82" w:line="273" w:lineRule="exact"/>
              <w:ind w:left="108"/>
              <w:textAlignment w:val="baseline"/>
              <w:rPr>
                <w:rFonts w:eastAsia="Arial" w:cs="Arial"/>
                <w:i/>
                <w:color w:val="000000"/>
                <w:sz w:val="15"/>
              </w:rPr>
            </w:pPr>
            <w:r w:rsidRPr="00FC4067">
              <w:rPr>
                <w:rFonts w:eastAsia="Arial" w:cs="Arial"/>
                <w:i/>
                <w:color w:val="000000"/>
                <w:sz w:val="15"/>
              </w:rPr>
              <w:t xml:space="preserve">QGEA — Information Licensing </w:t>
            </w:r>
            <w:r w:rsidRPr="00FC4067">
              <w:rPr>
                <w:rFonts w:eastAsia="Arial" w:cs="Arial"/>
                <w:color w:val="000000"/>
                <w:sz w:val="15"/>
              </w:rPr>
              <w:t>ARRs — section 9.5</w:t>
            </w:r>
          </w:p>
        </w:tc>
        <w:tc>
          <w:tcPr>
            <w:tcW w:w="1239" w:type="dxa"/>
            <w:tcBorders>
              <w:top w:val="single" w:sz="4" w:space="0" w:color="000000"/>
              <w:left w:val="single" w:sz="4" w:space="0" w:color="000000"/>
              <w:bottom w:val="single" w:sz="4" w:space="0" w:color="000000"/>
              <w:right w:val="none" w:sz="0" w:space="0" w:color="020000"/>
            </w:tcBorders>
          </w:tcPr>
          <w:p w14:paraId="0A315402"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3E3013A0" w14:textId="77777777" w:rsidTr="00040E2E">
        <w:trPr>
          <w:trHeight w:hRule="exact" w:val="480"/>
        </w:trPr>
        <w:tc>
          <w:tcPr>
            <w:tcW w:w="1502" w:type="dxa"/>
            <w:vMerge w:val="restart"/>
            <w:tcBorders>
              <w:top w:val="single" w:sz="4" w:space="0" w:color="000000"/>
              <w:left w:val="none" w:sz="0" w:space="0" w:color="020000"/>
              <w:bottom w:val="single" w:sz="0" w:space="0" w:color="000000"/>
              <w:right w:val="single" w:sz="4" w:space="0" w:color="000000"/>
            </w:tcBorders>
          </w:tcPr>
          <w:p w14:paraId="76FC547F" w14:textId="77777777" w:rsidR="00541191" w:rsidRPr="00FC4067" w:rsidRDefault="00541191" w:rsidP="00040E2E">
            <w:pPr>
              <w:spacing w:before="96" w:after="799" w:line="174" w:lineRule="exact"/>
              <w:ind w:left="144"/>
              <w:textAlignment w:val="baseline"/>
              <w:rPr>
                <w:rFonts w:eastAsia="Arial" w:cs="Arial"/>
                <w:color w:val="000000"/>
                <w:spacing w:val="8"/>
                <w:sz w:val="15"/>
              </w:rPr>
            </w:pPr>
            <w:r w:rsidRPr="00FC4067">
              <w:rPr>
                <w:rFonts w:eastAsia="Arial" w:cs="Arial"/>
                <w:color w:val="000000"/>
                <w:spacing w:val="8"/>
                <w:sz w:val="15"/>
              </w:rPr>
              <w:t>General information</w:t>
            </w:r>
          </w:p>
        </w:tc>
        <w:tc>
          <w:tcPr>
            <w:tcW w:w="4080" w:type="dxa"/>
            <w:tcBorders>
              <w:top w:val="single" w:sz="4" w:space="0" w:color="000000"/>
              <w:left w:val="single" w:sz="4" w:space="0" w:color="000000"/>
              <w:bottom w:val="single" w:sz="4" w:space="0" w:color="000000"/>
              <w:right w:val="single" w:sz="4" w:space="0" w:color="000000"/>
            </w:tcBorders>
          </w:tcPr>
          <w:p w14:paraId="49427FFA" w14:textId="77777777" w:rsidR="00541191" w:rsidRPr="00FC4067" w:rsidRDefault="00541191" w:rsidP="00DC4782">
            <w:pPr>
              <w:numPr>
                <w:ilvl w:val="0"/>
                <w:numId w:val="18"/>
              </w:numPr>
              <w:tabs>
                <w:tab w:val="clear" w:pos="288"/>
                <w:tab w:val="left" w:pos="360"/>
              </w:tabs>
              <w:spacing w:before="98" w:after="194" w:line="188" w:lineRule="exact"/>
              <w:ind w:left="72"/>
              <w:textAlignment w:val="baseline"/>
              <w:rPr>
                <w:rFonts w:eastAsia="Arial" w:cs="Arial"/>
                <w:color w:val="000000"/>
                <w:sz w:val="15"/>
              </w:rPr>
            </w:pPr>
            <w:r w:rsidRPr="00FC4067">
              <w:rPr>
                <w:rFonts w:eastAsia="Arial" w:cs="Arial"/>
                <w:color w:val="000000"/>
                <w:sz w:val="15"/>
              </w:rPr>
              <w:t>Introductory Information</w:t>
            </w:r>
          </w:p>
        </w:tc>
        <w:tc>
          <w:tcPr>
            <w:tcW w:w="2419" w:type="dxa"/>
            <w:tcBorders>
              <w:top w:val="single" w:sz="4" w:space="0" w:color="000000"/>
              <w:left w:val="single" w:sz="4" w:space="0" w:color="000000"/>
              <w:bottom w:val="single" w:sz="4" w:space="0" w:color="000000"/>
              <w:right w:val="single" w:sz="4" w:space="0" w:color="000000"/>
            </w:tcBorders>
          </w:tcPr>
          <w:p w14:paraId="17346CC5" w14:textId="77777777" w:rsidR="00541191" w:rsidRPr="00FC4067" w:rsidRDefault="00541191" w:rsidP="00040E2E">
            <w:pPr>
              <w:spacing w:before="113" w:after="194" w:line="173" w:lineRule="exact"/>
              <w:ind w:left="82"/>
              <w:textAlignment w:val="baseline"/>
              <w:rPr>
                <w:rFonts w:eastAsia="Arial" w:cs="Arial"/>
                <w:color w:val="000000"/>
                <w:sz w:val="15"/>
              </w:rPr>
            </w:pPr>
            <w:r w:rsidRPr="00FC4067">
              <w:rPr>
                <w:rFonts w:eastAsia="Arial" w:cs="Arial"/>
                <w:color w:val="000000"/>
                <w:sz w:val="15"/>
              </w:rPr>
              <w:t>ARRs — section 10.1</w:t>
            </w:r>
          </w:p>
        </w:tc>
        <w:tc>
          <w:tcPr>
            <w:tcW w:w="1239" w:type="dxa"/>
            <w:tcBorders>
              <w:top w:val="single" w:sz="4" w:space="0" w:color="000000"/>
              <w:left w:val="single" w:sz="4" w:space="0" w:color="000000"/>
              <w:bottom w:val="single" w:sz="4" w:space="0" w:color="000000"/>
              <w:right w:val="none" w:sz="0" w:space="0" w:color="020000"/>
            </w:tcBorders>
          </w:tcPr>
          <w:p w14:paraId="513D77F7"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5CD26C15" w14:textId="77777777" w:rsidTr="00040E2E">
        <w:trPr>
          <w:trHeight w:hRule="exact" w:val="384"/>
        </w:trPr>
        <w:tc>
          <w:tcPr>
            <w:tcW w:w="1502" w:type="dxa"/>
            <w:vMerge/>
            <w:tcBorders>
              <w:top w:val="single" w:sz="0" w:space="0" w:color="000000"/>
              <w:left w:val="none" w:sz="0" w:space="0" w:color="020000"/>
              <w:bottom w:val="single" w:sz="0" w:space="0" w:color="000000"/>
              <w:right w:val="single" w:sz="4" w:space="0" w:color="000000"/>
            </w:tcBorders>
          </w:tcPr>
          <w:p w14:paraId="556DB33F"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6C8254B8" w14:textId="77777777" w:rsidR="00541191" w:rsidRPr="00FC4067" w:rsidRDefault="00541191" w:rsidP="00DC4782">
            <w:pPr>
              <w:numPr>
                <w:ilvl w:val="0"/>
                <w:numId w:val="18"/>
              </w:numPr>
              <w:tabs>
                <w:tab w:val="clear" w:pos="288"/>
                <w:tab w:val="left" w:pos="360"/>
              </w:tabs>
              <w:spacing w:before="93" w:after="93" w:line="188" w:lineRule="exact"/>
              <w:ind w:left="72"/>
              <w:textAlignment w:val="baseline"/>
              <w:rPr>
                <w:rFonts w:eastAsia="Arial" w:cs="Arial"/>
                <w:color w:val="000000"/>
                <w:sz w:val="15"/>
              </w:rPr>
            </w:pPr>
            <w:r w:rsidRPr="00FC4067">
              <w:rPr>
                <w:rFonts w:eastAsia="Arial" w:cs="Arial"/>
                <w:color w:val="000000"/>
                <w:sz w:val="15"/>
              </w:rPr>
              <w:t>Agency role and main functions</w:t>
            </w:r>
          </w:p>
        </w:tc>
        <w:tc>
          <w:tcPr>
            <w:tcW w:w="2419" w:type="dxa"/>
            <w:tcBorders>
              <w:top w:val="single" w:sz="4" w:space="0" w:color="000000"/>
              <w:left w:val="single" w:sz="4" w:space="0" w:color="000000"/>
              <w:bottom w:val="single" w:sz="4" w:space="0" w:color="000000"/>
              <w:right w:val="single" w:sz="4" w:space="0" w:color="000000"/>
            </w:tcBorders>
            <w:vAlign w:val="center"/>
          </w:tcPr>
          <w:p w14:paraId="5EF91911" w14:textId="77777777" w:rsidR="00541191" w:rsidRPr="00FC4067" w:rsidRDefault="00541191" w:rsidP="00040E2E">
            <w:pPr>
              <w:spacing w:before="108" w:after="93" w:line="173" w:lineRule="exact"/>
              <w:ind w:left="82"/>
              <w:textAlignment w:val="baseline"/>
              <w:rPr>
                <w:rFonts w:eastAsia="Arial" w:cs="Arial"/>
                <w:color w:val="000000"/>
                <w:sz w:val="15"/>
              </w:rPr>
            </w:pPr>
            <w:r w:rsidRPr="00FC4067">
              <w:rPr>
                <w:rFonts w:eastAsia="Arial" w:cs="Arial"/>
                <w:color w:val="000000"/>
                <w:sz w:val="15"/>
              </w:rPr>
              <w:t>ARRs — section 10.2</w:t>
            </w:r>
          </w:p>
        </w:tc>
        <w:tc>
          <w:tcPr>
            <w:tcW w:w="1239" w:type="dxa"/>
            <w:tcBorders>
              <w:top w:val="single" w:sz="4" w:space="0" w:color="000000"/>
              <w:left w:val="single" w:sz="4" w:space="0" w:color="000000"/>
              <w:bottom w:val="single" w:sz="4" w:space="0" w:color="000000"/>
              <w:right w:val="none" w:sz="0" w:space="0" w:color="020000"/>
            </w:tcBorders>
          </w:tcPr>
          <w:p w14:paraId="154395B1"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554C829F" w14:textId="77777777" w:rsidTr="00040E2E">
        <w:trPr>
          <w:trHeight w:hRule="exact" w:val="388"/>
        </w:trPr>
        <w:tc>
          <w:tcPr>
            <w:tcW w:w="1502" w:type="dxa"/>
            <w:vMerge/>
            <w:tcBorders>
              <w:top w:val="single" w:sz="0" w:space="0" w:color="000000"/>
              <w:left w:val="none" w:sz="0" w:space="0" w:color="020000"/>
              <w:bottom w:val="single" w:sz="4" w:space="0" w:color="000000"/>
              <w:right w:val="single" w:sz="4" w:space="0" w:color="000000"/>
            </w:tcBorders>
          </w:tcPr>
          <w:p w14:paraId="0F895818"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23054ADD" w14:textId="77777777" w:rsidR="00541191" w:rsidRPr="00FC4067" w:rsidRDefault="00541191" w:rsidP="00DC4782">
            <w:pPr>
              <w:numPr>
                <w:ilvl w:val="0"/>
                <w:numId w:val="18"/>
              </w:numPr>
              <w:tabs>
                <w:tab w:val="clear" w:pos="288"/>
                <w:tab w:val="left" w:pos="360"/>
              </w:tabs>
              <w:spacing w:before="98" w:after="93" w:line="188" w:lineRule="exact"/>
              <w:ind w:left="72"/>
              <w:textAlignment w:val="baseline"/>
              <w:rPr>
                <w:rFonts w:eastAsia="Arial" w:cs="Arial"/>
                <w:color w:val="000000"/>
                <w:sz w:val="15"/>
              </w:rPr>
            </w:pPr>
            <w:r w:rsidRPr="00FC4067">
              <w:rPr>
                <w:rFonts w:eastAsia="Arial" w:cs="Arial"/>
                <w:color w:val="000000"/>
                <w:sz w:val="15"/>
              </w:rPr>
              <w:t>Operating environment</w:t>
            </w:r>
          </w:p>
        </w:tc>
        <w:tc>
          <w:tcPr>
            <w:tcW w:w="2419" w:type="dxa"/>
            <w:tcBorders>
              <w:top w:val="single" w:sz="4" w:space="0" w:color="000000"/>
              <w:left w:val="single" w:sz="4" w:space="0" w:color="000000"/>
              <w:bottom w:val="single" w:sz="4" w:space="0" w:color="000000"/>
              <w:right w:val="single" w:sz="4" w:space="0" w:color="000000"/>
            </w:tcBorders>
            <w:vAlign w:val="center"/>
          </w:tcPr>
          <w:p w14:paraId="1D15D854" w14:textId="77777777" w:rsidR="00541191" w:rsidRPr="00FC4067" w:rsidRDefault="00541191" w:rsidP="00040E2E">
            <w:pPr>
              <w:spacing w:before="113" w:after="93" w:line="173" w:lineRule="exact"/>
              <w:ind w:left="82"/>
              <w:textAlignment w:val="baseline"/>
              <w:rPr>
                <w:rFonts w:eastAsia="Arial" w:cs="Arial"/>
                <w:color w:val="000000"/>
                <w:sz w:val="15"/>
              </w:rPr>
            </w:pPr>
            <w:r w:rsidRPr="00FC4067">
              <w:rPr>
                <w:rFonts w:eastAsia="Arial" w:cs="Arial"/>
                <w:color w:val="000000"/>
                <w:sz w:val="15"/>
              </w:rPr>
              <w:t>ARRs — section 10.3</w:t>
            </w:r>
          </w:p>
        </w:tc>
        <w:tc>
          <w:tcPr>
            <w:tcW w:w="1239" w:type="dxa"/>
            <w:tcBorders>
              <w:top w:val="single" w:sz="4" w:space="0" w:color="000000"/>
              <w:left w:val="single" w:sz="4" w:space="0" w:color="000000"/>
              <w:bottom w:val="single" w:sz="4" w:space="0" w:color="000000"/>
              <w:right w:val="none" w:sz="0" w:space="0" w:color="020000"/>
            </w:tcBorders>
          </w:tcPr>
          <w:p w14:paraId="6A18D266"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0FD925EC" w14:textId="77777777" w:rsidTr="00040E2E">
        <w:trPr>
          <w:trHeight w:hRule="exact" w:val="389"/>
        </w:trPr>
        <w:tc>
          <w:tcPr>
            <w:tcW w:w="1502" w:type="dxa"/>
            <w:vMerge w:val="restart"/>
            <w:tcBorders>
              <w:top w:val="single" w:sz="4" w:space="0" w:color="000000"/>
              <w:left w:val="none" w:sz="0" w:space="0" w:color="020000"/>
              <w:bottom w:val="single" w:sz="0" w:space="0" w:color="000000"/>
              <w:right w:val="single" w:sz="4" w:space="0" w:color="000000"/>
            </w:tcBorders>
          </w:tcPr>
          <w:p w14:paraId="733BF95B" w14:textId="77777777" w:rsidR="00541191" w:rsidRPr="00FC4067" w:rsidRDefault="00541191" w:rsidP="00040E2E">
            <w:pPr>
              <w:spacing w:before="91" w:after="1274" w:line="177" w:lineRule="exact"/>
              <w:jc w:val="center"/>
              <w:textAlignment w:val="baseline"/>
              <w:rPr>
                <w:rFonts w:eastAsia="Arial" w:cs="Arial"/>
                <w:color w:val="000000"/>
                <w:sz w:val="15"/>
              </w:rPr>
            </w:pPr>
            <w:r w:rsidRPr="00FC4067">
              <w:rPr>
                <w:rFonts w:eastAsia="Arial" w:cs="Arial"/>
                <w:color w:val="000000"/>
                <w:sz w:val="15"/>
              </w:rPr>
              <w:t xml:space="preserve">Non-financial </w:t>
            </w:r>
            <w:r w:rsidRPr="00FC4067">
              <w:rPr>
                <w:rFonts w:eastAsia="Arial" w:cs="Arial"/>
                <w:color w:val="000000"/>
                <w:sz w:val="15"/>
              </w:rPr>
              <w:br/>
              <w:t>performance</w:t>
            </w:r>
          </w:p>
        </w:tc>
        <w:tc>
          <w:tcPr>
            <w:tcW w:w="4080" w:type="dxa"/>
            <w:tcBorders>
              <w:top w:val="single" w:sz="4" w:space="0" w:color="000000"/>
              <w:left w:val="single" w:sz="4" w:space="0" w:color="000000"/>
              <w:bottom w:val="single" w:sz="4" w:space="0" w:color="000000"/>
              <w:right w:val="single" w:sz="4" w:space="0" w:color="000000"/>
            </w:tcBorders>
            <w:vAlign w:val="center"/>
          </w:tcPr>
          <w:p w14:paraId="5EDA11F7" w14:textId="77777777" w:rsidR="00541191" w:rsidRPr="00FC4067" w:rsidRDefault="00541191" w:rsidP="00DC4782">
            <w:pPr>
              <w:numPr>
                <w:ilvl w:val="0"/>
                <w:numId w:val="18"/>
              </w:numPr>
              <w:tabs>
                <w:tab w:val="clear" w:pos="288"/>
                <w:tab w:val="left" w:pos="360"/>
              </w:tabs>
              <w:spacing w:before="97" w:after="91" w:line="192" w:lineRule="exact"/>
              <w:ind w:left="72"/>
              <w:textAlignment w:val="baseline"/>
              <w:rPr>
                <w:rFonts w:eastAsia="Arial" w:cs="Arial"/>
                <w:color w:val="000000"/>
                <w:sz w:val="15"/>
              </w:rPr>
            </w:pPr>
            <w:r w:rsidRPr="00FC4067">
              <w:rPr>
                <w:rFonts w:eastAsia="Arial" w:cs="Arial"/>
                <w:color w:val="000000"/>
                <w:sz w:val="15"/>
              </w:rPr>
              <w:t>Government's objectives for the community</w:t>
            </w:r>
          </w:p>
        </w:tc>
        <w:tc>
          <w:tcPr>
            <w:tcW w:w="2419" w:type="dxa"/>
            <w:tcBorders>
              <w:top w:val="single" w:sz="4" w:space="0" w:color="000000"/>
              <w:left w:val="single" w:sz="4" w:space="0" w:color="000000"/>
              <w:bottom w:val="single" w:sz="4" w:space="0" w:color="000000"/>
              <w:right w:val="single" w:sz="4" w:space="0" w:color="000000"/>
            </w:tcBorders>
            <w:vAlign w:val="center"/>
          </w:tcPr>
          <w:p w14:paraId="6EF01EF3" w14:textId="77777777" w:rsidR="00541191" w:rsidRPr="00FC4067" w:rsidRDefault="00541191" w:rsidP="00040E2E">
            <w:pPr>
              <w:spacing w:before="110" w:after="97" w:line="173" w:lineRule="exact"/>
              <w:ind w:left="82"/>
              <w:textAlignment w:val="baseline"/>
              <w:rPr>
                <w:rFonts w:eastAsia="Arial" w:cs="Arial"/>
                <w:color w:val="000000"/>
                <w:sz w:val="15"/>
              </w:rPr>
            </w:pPr>
            <w:r w:rsidRPr="00FC4067">
              <w:rPr>
                <w:rFonts w:eastAsia="Arial" w:cs="Arial"/>
                <w:color w:val="000000"/>
                <w:sz w:val="15"/>
              </w:rPr>
              <w:t>ARRs — section 11.1</w:t>
            </w:r>
          </w:p>
        </w:tc>
        <w:tc>
          <w:tcPr>
            <w:tcW w:w="1239" w:type="dxa"/>
            <w:tcBorders>
              <w:top w:val="single" w:sz="4" w:space="0" w:color="000000"/>
              <w:left w:val="single" w:sz="4" w:space="0" w:color="000000"/>
              <w:bottom w:val="single" w:sz="4" w:space="0" w:color="000000"/>
              <w:right w:val="none" w:sz="0" w:space="0" w:color="020000"/>
            </w:tcBorders>
          </w:tcPr>
          <w:p w14:paraId="0CE0318A"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03585A49" w14:textId="77777777" w:rsidTr="00040E2E">
        <w:trPr>
          <w:trHeight w:hRule="exact" w:val="567"/>
        </w:trPr>
        <w:tc>
          <w:tcPr>
            <w:tcW w:w="1502" w:type="dxa"/>
            <w:vMerge/>
            <w:tcBorders>
              <w:top w:val="single" w:sz="0" w:space="0" w:color="000000"/>
              <w:left w:val="none" w:sz="0" w:space="0" w:color="020000"/>
              <w:bottom w:val="single" w:sz="0" w:space="0" w:color="000000"/>
              <w:right w:val="single" w:sz="4" w:space="0" w:color="000000"/>
            </w:tcBorders>
          </w:tcPr>
          <w:p w14:paraId="18907759"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tcPr>
          <w:p w14:paraId="793F560A" w14:textId="77777777" w:rsidR="00541191" w:rsidRPr="00FC4067" w:rsidRDefault="00541191" w:rsidP="00DC4782">
            <w:pPr>
              <w:numPr>
                <w:ilvl w:val="0"/>
                <w:numId w:val="17"/>
              </w:numPr>
              <w:tabs>
                <w:tab w:val="clear" w:pos="216"/>
                <w:tab w:val="left" w:pos="360"/>
              </w:tabs>
              <w:spacing w:before="109" w:after="108" w:line="175" w:lineRule="exact"/>
              <w:ind w:left="360" w:right="576" w:hanging="216"/>
              <w:textAlignment w:val="baseline"/>
              <w:rPr>
                <w:rFonts w:eastAsia="Arial" w:cs="Arial"/>
                <w:color w:val="000000"/>
                <w:sz w:val="15"/>
              </w:rPr>
            </w:pPr>
            <w:r w:rsidRPr="00FC4067">
              <w:rPr>
                <w:rFonts w:eastAsia="Arial" w:cs="Arial"/>
                <w:color w:val="000000"/>
                <w:sz w:val="15"/>
              </w:rPr>
              <w:t>Other whole-of-government plans / specific initiatives</w:t>
            </w:r>
          </w:p>
        </w:tc>
        <w:tc>
          <w:tcPr>
            <w:tcW w:w="2419" w:type="dxa"/>
            <w:tcBorders>
              <w:top w:val="single" w:sz="4" w:space="0" w:color="000000"/>
              <w:left w:val="single" w:sz="4" w:space="0" w:color="000000"/>
              <w:bottom w:val="single" w:sz="4" w:space="0" w:color="000000"/>
              <w:right w:val="single" w:sz="4" w:space="0" w:color="000000"/>
            </w:tcBorders>
          </w:tcPr>
          <w:p w14:paraId="0DD4AD21" w14:textId="77777777" w:rsidR="00541191" w:rsidRPr="00FC4067" w:rsidRDefault="00541191" w:rsidP="00040E2E">
            <w:pPr>
              <w:spacing w:before="113" w:after="281" w:line="173" w:lineRule="exact"/>
              <w:ind w:left="82"/>
              <w:textAlignment w:val="baseline"/>
              <w:rPr>
                <w:rFonts w:eastAsia="Arial" w:cs="Arial"/>
                <w:color w:val="000000"/>
                <w:sz w:val="15"/>
              </w:rPr>
            </w:pPr>
            <w:r w:rsidRPr="00FC4067">
              <w:rPr>
                <w:rFonts w:eastAsia="Arial" w:cs="Arial"/>
                <w:color w:val="000000"/>
                <w:sz w:val="15"/>
              </w:rPr>
              <w:t>ARRs — section 11.2</w:t>
            </w:r>
          </w:p>
        </w:tc>
        <w:tc>
          <w:tcPr>
            <w:tcW w:w="1239" w:type="dxa"/>
            <w:tcBorders>
              <w:top w:val="single" w:sz="4" w:space="0" w:color="000000"/>
              <w:left w:val="single" w:sz="4" w:space="0" w:color="000000"/>
              <w:bottom w:val="single" w:sz="4" w:space="0" w:color="000000"/>
              <w:right w:val="none" w:sz="0" w:space="0" w:color="020000"/>
            </w:tcBorders>
          </w:tcPr>
          <w:p w14:paraId="33028941"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715407FA" w14:textId="77777777" w:rsidTr="00040E2E">
        <w:trPr>
          <w:trHeight w:hRule="exact" w:val="388"/>
        </w:trPr>
        <w:tc>
          <w:tcPr>
            <w:tcW w:w="1502" w:type="dxa"/>
            <w:vMerge/>
            <w:tcBorders>
              <w:top w:val="single" w:sz="0" w:space="0" w:color="000000"/>
              <w:left w:val="none" w:sz="0" w:space="0" w:color="020000"/>
              <w:bottom w:val="single" w:sz="0" w:space="0" w:color="000000"/>
              <w:right w:val="single" w:sz="4" w:space="0" w:color="000000"/>
            </w:tcBorders>
          </w:tcPr>
          <w:p w14:paraId="6F8C438F"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7308C91F" w14:textId="77777777" w:rsidR="00541191" w:rsidRPr="00FC4067" w:rsidRDefault="00541191" w:rsidP="00DC4782">
            <w:pPr>
              <w:numPr>
                <w:ilvl w:val="0"/>
                <w:numId w:val="18"/>
              </w:numPr>
              <w:tabs>
                <w:tab w:val="clear" w:pos="288"/>
                <w:tab w:val="left" w:pos="360"/>
              </w:tabs>
              <w:spacing w:before="96" w:after="90" w:line="188" w:lineRule="exact"/>
              <w:ind w:left="72"/>
              <w:textAlignment w:val="baseline"/>
              <w:rPr>
                <w:rFonts w:eastAsia="Arial" w:cs="Arial"/>
                <w:color w:val="000000"/>
                <w:sz w:val="15"/>
              </w:rPr>
            </w:pPr>
            <w:r w:rsidRPr="00FC4067">
              <w:rPr>
                <w:rFonts w:eastAsia="Arial" w:cs="Arial"/>
                <w:color w:val="000000"/>
                <w:sz w:val="15"/>
              </w:rPr>
              <w:t>Agency objectives and performance indicators</w:t>
            </w:r>
          </w:p>
        </w:tc>
        <w:tc>
          <w:tcPr>
            <w:tcW w:w="2419" w:type="dxa"/>
            <w:tcBorders>
              <w:top w:val="single" w:sz="4" w:space="0" w:color="000000"/>
              <w:left w:val="single" w:sz="4" w:space="0" w:color="000000"/>
              <w:bottom w:val="single" w:sz="4" w:space="0" w:color="000000"/>
              <w:right w:val="single" w:sz="4" w:space="0" w:color="000000"/>
            </w:tcBorders>
            <w:vAlign w:val="center"/>
          </w:tcPr>
          <w:p w14:paraId="331893FD" w14:textId="77777777" w:rsidR="00541191" w:rsidRPr="00FC4067" w:rsidRDefault="00541191" w:rsidP="00040E2E">
            <w:pPr>
              <w:spacing w:before="108" w:after="93" w:line="173" w:lineRule="exact"/>
              <w:ind w:left="82"/>
              <w:textAlignment w:val="baseline"/>
              <w:rPr>
                <w:rFonts w:eastAsia="Arial" w:cs="Arial"/>
                <w:color w:val="000000"/>
                <w:sz w:val="15"/>
              </w:rPr>
            </w:pPr>
            <w:r w:rsidRPr="00FC4067">
              <w:rPr>
                <w:rFonts w:eastAsia="Arial" w:cs="Arial"/>
                <w:color w:val="000000"/>
                <w:sz w:val="15"/>
              </w:rPr>
              <w:t>ARRs — section 11.3</w:t>
            </w:r>
          </w:p>
        </w:tc>
        <w:tc>
          <w:tcPr>
            <w:tcW w:w="1239" w:type="dxa"/>
            <w:tcBorders>
              <w:top w:val="single" w:sz="4" w:space="0" w:color="000000"/>
              <w:left w:val="single" w:sz="4" w:space="0" w:color="000000"/>
              <w:bottom w:val="single" w:sz="4" w:space="0" w:color="000000"/>
              <w:right w:val="none" w:sz="0" w:space="0" w:color="020000"/>
            </w:tcBorders>
          </w:tcPr>
          <w:p w14:paraId="50F20FC6"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7A134D97" w14:textId="77777777" w:rsidTr="00040E2E">
        <w:trPr>
          <w:trHeight w:hRule="exact" w:val="384"/>
        </w:trPr>
        <w:tc>
          <w:tcPr>
            <w:tcW w:w="1502" w:type="dxa"/>
            <w:vMerge/>
            <w:tcBorders>
              <w:top w:val="single" w:sz="0" w:space="0" w:color="000000"/>
              <w:left w:val="none" w:sz="0" w:space="0" w:color="020000"/>
              <w:bottom w:val="single" w:sz="4" w:space="0" w:color="000000"/>
              <w:right w:val="single" w:sz="4" w:space="0" w:color="000000"/>
            </w:tcBorders>
          </w:tcPr>
          <w:p w14:paraId="3FC2F4FC"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353D486E" w14:textId="77777777" w:rsidR="00541191" w:rsidRPr="00FC4067" w:rsidRDefault="00541191" w:rsidP="00DC4782">
            <w:pPr>
              <w:numPr>
                <w:ilvl w:val="0"/>
                <w:numId w:val="18"/>
              </w:numPr>
              <w:tabs>
                <w:tab w:val="clear" w:pos="288"/>
                <w:tab w:val="left" w:pos="360"/>
              </w:tabs>
              <w:spacing w:before="96" w:after="91" w:line="188" w:lineRule="exact"/>
              <w:ind w:left="72"/>
              <w:textAlignment w:val="baseline"/>
              <w:rPr>
                <w:rFonts w:eastAsia="Arial" w:cs="Arial"/>
                <w:color w:val="000000"/>
                <w:sz w:val="15"/>
              </w:rPr>
            </w:pPr>
            <w:r w:rsidRPr="00FC4067">
              <w:rPr>
                <w:rFonts w:eastAsia="Arial" w:cs="Arial"/>
                <w:color w:val="000000"/>
                <w:sz w:val="15"/>
              </w:rPr>
              <w:t>Agency service areas and service standards</w:t>
            </w:r>
          </w:p>
        </w:tc>
        <w:tc>
          <w:tcPr>
            <w:tcW w:w="2419" w:type="dxa"/>
            <w:tcBorders>
              <w:top w:val="single" w:sz="4" w:space="0" w:color="000000"/>
              <w:left w:val="single" w:sz="4" w:space="0" w:color="000000"/>
              <w:bottom w:val="single" w:sz="4" w:space="0" w:color="000000"/>
              <w:right w:val="single" w:sz="4" w:space="0" w:color="000000"/>
            </w:tcBorders>
            <w:vAlign w:val="center"/>
          </w:tcPr>
          <w:p w14:paraId="0B10787C" w14:textId="77777777" w:rsidR="00541191" w:rsidRPr="00FC4067" w:rsidRDefault="00541191" w:rsidP="00040E2E">
            <w:pPr>
              <w:spacing w:before="109" w:after="93" w:line="173" w:lineRule="exact"/>
              <w:ind w:left="82"/>
              <w:textAlignment w:val="baseline"/>
              <w:rPr>
                <w:rFonts w:eastAsia="Arial" w:cs="Arial"/>
                <w:color w:val="000000"/>
                <w:sz w:val="15"/>
              </w:rPr>
            </w:pPr>
            <w:r w:rsidRPr="00FC4067">
              <w:rPr>
                <w:rFonts w:eastAsia="Arial" w:cs="Arial"/>
                <w:color w:val="000000"/>
                <w:sz w:val="15"/>
              </w:rPr>
              <w:t>ARRs — section 11.4</w:t>
            </w:r>
          </w:p>
        </w:tc>
        <w:tc>
          <w:tcPr>
            <w:tcW w:w="1239" w:type="dxa"/>
            <w:tcBorders>
              <w:top w:val="single" w:sz="4" w:space="0" w:color="000000"/>
              <w:left w:val="single" w:sz="4" w:space="0" w:color="000000"/>
              <w:bottom w:val="single" w:sz="4" w:space="0" w:color="000000"/>
              <w:right w:val="none" w:sz="0" w:space="0" w:color="020000"/>
            </w:tcBorders>
          </w:tcPr>
          <w:p w14:paraId="11EADC54"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46901CE2" w14:textId="77777777" w:rsidTr="00040E2E">
        <w:trPr>
          <w:trHeight w:hRule="exact" w:val="557"/>
        </w:trPr>
        <w:tc>
          <w:tcPr>
            <w:tcW w:w="1502" w:type="dxa"/>
            <w:tcBorders>
              <w:top w:val="single" w:sz="4" w:space="0" w:color="000000"/>
              <w:left w:val="none" w:sz="0" w:space="0" w:color="020000"/>
              <w:bottom w:val="single" w:sz="4" w:space="0" w:color="000000"/>
              <w:right w:val="single" w:sz="4" w:space="0" w:color="000000"/>
            </w:tcBorders>
          </w:tcPr>
          <w:p w14:paraId="51949A35" w14:textId="77777777" w:rsidR="00541191" w:rsidRPr="00FC4067" w:rsidRDefault="00541191" w:rsidP="00040E2E">
            <w:pPr>
              <w:spacing w:before="94" w:after="102" w:line="178" w:lineRule="exact"/>
              <w:ind w:left="108"/>
              <w:textAlignment w:val="baseline"/>
              <w:rPr>
                <w:rFonts w:eastAsia="Arial" w:cs="Arial"/>
                <w:color w:val="000000"/>
                <w:sz w:val="15"/>
              </w:rPr>
            </w:pPr>
            <w:r w:rsidRPr="00FC4067">
              <w:rPr>
                <w:rFonts w:eastAsia="Arial" w:cs="Arial"/>
                <w:color w:val="000000"/>
                <w:sz w:val="15"/>
              </w:rPr>
              <w:t>Financial performance</w:t>
            </w:r>
          </w:p>
        </w:tc>
        <w:tc>
          <w:tcPr>
            <w:tcW w:w="4080" w:type="dxa"/>
            <w:tcBorders>
              <w:top w:val="single" w:sz="4" w:space="0" w:color="000000"/>
              <w:left w:val="single" w:sz="4" w:space="0" w:color="000000"/>
              <w:bottom w:val="single" w:sz="4" w:space="0" w:color="000000"/>
              <w:right w:val="single" w:sz="4" w:space="0" w:color="000000"/>
            </w:tcBorders>
          </w:tcPr>
          <w:p w14:paraId="4CECC2F0" w14:textId="77777777" w:rsidR="00541191" w:rsidRPr="00FC4067" w:rsidRDefault="00541191" w:rsidP="00DC4782">
            <w:pPr>
              <w:numPr>
                <w:ilvl w:val="0"/>
                <w:numId w:val="18"/>
              </w:numPr>
              <w:tabs>
                <w:tab w:val="clear" w:pos="288"/>
                <w:tab w:val="left" w:pos="360"/>
              </w:tabs>
              <w:spacing w:before="100" w:after="264" w:line="188" w:lineRule="exact"/>
              <w:ind w:left="72"/>
              <w:textAlignment w:val="baseline"/>
              <w:rPr>
                <w:rFonts w:eastAsia="Arial" w:cs="Arial"/>
                <w:color w:val="000000"/>
                <w:sz w:val="15"/>
              </w:rPr>
            </w:pPr>
            <w:r w:rsidRPr="00FC4067">
              <w:rPr>
                <w:rFonts w:eastAsia="Arial" w:cs="Arial"/>
                <w:color w:val="000000"/>
                <w:sz w:val="15"/>
              </w:rPr>
              <w:t>Summary of financial performance</w:t>
            </w:r>
          </w:p>
        </w:tc>
        <w:tc>
          <w:tcPr>
            <w:tcW w:w="2419" w:type="dxa"/>
            <w:tcBorders>
              <w:top w:val="single" w:sz="4" w:space="0" w:color="000000"/>
              <w:left w:val="single" w:sz="4" w:space="0" w:color="000000"/>
              <w:bottom w:val="single" w:sz="4" w:space="0" w:color="000000"/>
              <w:right w:val="single" w:sz="4" w:space="0" w:color="000000"/>
            </w:tcBorders>
          </w:tcPr>
          <w:p w14:paraId="31FF494E" w14:textId="77777777" w:rsidR="00541191" w:rsidRPr="00FC4067" w:rsidRDefault="00541191" w:rsidP="00040E2E">
            <w:pPr>
              <w:spacing w:before="113" w:after="266" w:line="173" w:lineRule="exact"/>
              <w:ind w:left="82"/>
              <w:textAlignment w:val="baseline"/>
              <w:rPr>
                <w:rFonts w:eastAsia="Arial" w:cs="Arial"/>
                <w:color w:val="000000"/>
                <w:sz w:val="15"/>
              </w:rPr>
            </w:pPr>
            <w:r w:rsidRPr="00FC4067">
              <w:rPr>
                <w:rFonts w:eastAsia="Arial" w:cs="Arial"/>
                <w:color w:val="000000"/>
                <w:sz w:val="15"/>
              </w:rPr>
              <w:t>ARRs — section 12.1</w:t>
            </w:r>
          </w:p>
        </w:tc>
        <w:tc>
          <w:tcPr>
            <w:tcW w:w="1239" w:type="dxa"/>
            <w:tcBorders>
              <w:top w:val="single" w:sz="4" w:space="0" w:color="000000"/>
              <w:left w:val="single" w:sz="4" w:space="0" w:color="000000"/>
              <w:bottom w:val="single" w:sz="4" w:space="0" w:color="000000"/>
              <w:right w:val="none" w:sz="0" w:space="0" w:color="020000"/>
            </w:tcBorders>
          </w:tcPr>
          <w:p w14:paraId="29AC0031"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201FF4C0" w14:textId="77777777" w:rsidTr="00040E2E">
        <w:trPr>
          <w:trHeight w:hRule="exact" w:val="389"/>
        </w:trPr>
        <w:tc>
          <w:tcPr>
            <w:tcW w:w="1502" w:type="dxa"/>
            <w:vMerge w:val="restart"/>
            <w:tcBorders>
              <w:top w:val="single" w:sz="4" w:space="0" w:color="000000"/>
              <w:left w:val="none" w:sz="0" w:space="0" w:color="020000"/>
              <w:bottom w:val="single" w:sz="0" w:space="0" w:color="000000"/>
              <w:right w:val="single" w:sz="4" w:space="0" w:color="000000"/>
            </w:tcBorders>
          </w:tcPr>
          <w:p w14:paraId="21B0F613" w14:textId="77777777" w:rsidR="00541191" w:rsidRPr="00FC4067" w:rsidRDefault="00541191" w:rsidP="00040E2E">
            <w:pPr>
              <w:spacing w:before="94" w:after="1749" w:line="176" w:lineRule="exact"/>
              <w:ind w:left="108"/>
              <w:textAlignment w:val="baseline"/>
              <w:rPr>
                <w:rFonts w:eastAsia="Arial" w:cs="Arial"/>
                <w:color w:val="000000"/>
                <w:sz w:val="15"/>
              </w:rPr>
            </w:pPr>
            <w:r w:rsidRPr="00FC4067">
              <w:rPr>
                <w:rFonts w:eastAsia="Arial" w:cs="Arial"/>
                <w:color w:val="000000"/>
                <w:sz w:val="15"/>
              </w:rPr>
              <w:t>Governance — management and structure</w:t>
            </w:r>
          </w:p>
        </w:tc>
        <w:tc>
          <w:tcPr>
            <w:tcW w:w="4080" w:type="dxa"/>
            <w:tcBorders>
              <w:top w:val="single" w:sz="4" w:space="0" w:color="000000"/>
              <w:left w:val="single" w:sz="4" w:space="0" w:color="000000"/>
              <w:bottom w:val="single" w:sz="4" w:space="0" w:color="000000"/>
              <w:right w:val="single" w:sz="4" w:space="0" w:color="000000"/>
            </w:tcBorders>
            <w:vAlign w:val="center"/>
          </w:tcPr>
          <w:p w14:paraId="1CDD06EE" w14:textId="77777777" w:rsidR="00541191" w:rsidRPr="00FC4067" w:rsidRDefault="00541191" w:rsidP="00040E2E">
            <w:pPr>
              <w:tabs>
                <w:tab w:val="left" w:pos="288"/>
              </w:tabs>
              <w:spacing w:before="110" w:after="101" w:line="173" w:lineRule="exact"/>
              <w:ind w:left="91"/>
              <w:textAlignment w:val="baseline"/>
              <w:rPr>
                <w:rFonts w:eastAsia="Arial" w:cs="Arial"/>
                <w:color w:val="000000"/>
                <w:sz w:val="15"/>
              </w:rPr>
            </w:pPr>
            <w:r w:rsidRPr="00FC4067">
              <w:rPr>
                <w:rFonts w:eastAsia="Arial" w:cs="Arial"/>
                <w:color w:val="000000"/>
                <w:sz w:val="15"/>
              </w:rPr>
              <w:t>.</w:t>
            </w:r>
            <w:r w:rsidRPr="00FC4067">
              <w:rPr>
                <w:rFonts w:eastAsia="Arial" w:cs="Arial"/>
                <w:color w:val="000000"/>
                <w:sz w:val="15"/>
              </w:rPr>
              <w:tab/>
              <w:t>Organisational structure</w:t>
            </w:r>
          </w:p>
        </w:tc>
        <w:tc>
          <w:tcPr>
            <w:tcW w:w="2419" w:type="dxa"/>
            <w:tcBorders>
              <w:top w:val="single" w:sz="4" w:space="0" w:color="000000"/>
              <w:left w:val="single" w:sz="4" w:space="0" w:color="000000"/>
              <w:bottom w:val="single" w:sz="4" w:space="0" w:color="000000"/>
              <w:right w:val="single" w:sz="4" w:space="0" w:color="000000"/>
            </w:tcBorders>
            <w:vAlign w:val="center"/>
          </w:tcPr>
          <w:p w14:paraId="665F8BA3" w14:textId="77777777" w:rsidR="00541191" w:rsidRPr="00FC4067" w:rsidRDefault="00541191" w:rsidP="00040E2E">
            <w:pPr>
              <w:spacing w:before="109" w:after="102" w:line="173" w:lineRule="exact"/>
              <w:ind w:left="82"/>
              <w:textAlignment w:val="baseline"/>
              <w:rPr>
                <w:rFonts w:eastAsia="Arial" w:cs="Arial"/>
                <w:color w:val="000000"/>
                <w:sz w:val="15"/>
              </w:rPr>
            </w:pPr>
            <w:r w:rsidRPr="00FC4067">
              <w:rPr>
                <w:rFonts w:eastAsia="Arial" w:cs="Arial"/>
                <w:color w:val="000000"/>
                <w:sz w:val="15"/>
              </w:rPr>
              <w:t>ARRs — section 13.1</w:t>
            </w:r>
          </w:p>
        </w:tc>
        <w:tc>
          <w:tcPr>
            <w:tcW w:w="1239" w:type="dxa"/>
            <w:tcBorders>
              <w:top w:val="single" w:sz="4" w:space="0" w:color="000000"/>
              <w:left w:val="single" w:sz="4" w:space="0" w:color="000000"/>
              <w:bottom w:val="single" w:sz="4" w:space="0" w:color="000000"/>
              <w:right w:val="none" w:sz="0" w:space="0" w:color="020000"/>
            </w:tcBorders>
          </w:tcPr>
          <w:p w14:paraId="7A7CC860"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7E57E745" w14:textId="77777777" w:rsidTr="00040E2E">
        <w:trPr>
          <w:trHeight w:hRule="exact" w:val="389"/>
        </w:trPr>
        <w:tc>
          <w:tcPr>
            <w:tcW w:w="1502" w:type="dxa"/>
            <w:vMerge/>
            <w:tcBorders>
              <w:top w:val="single" w:sz="0" w:space="0" w:color="000000"/>
              <w:left w:val="none" w:sz="0" w:space="0" w:color="020000"/>
              <w:bottom w:val="single" w:sz="0" w:space="0" w:color="000000"/>
              <w:right w:val="single" w:sz="4" w:space="0" w:color="000000"/>
            </w:tcBorders>
          </w:tcPr>
          <w:p w14:paraId="04FD368E"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0122A009" w14:textId="77777777" w:rsidR="00541191" w:rsidRPr="00FC4067" w:rsidRDefault="00541191" w:rsidP="00DC4782">
            <w:pPr>
              <w:numPr>
                <w:ilvl w:val="0"/>
                <w:numId w:val="18"/>
              </w:numPr>
              <w:tabs>
                <w:tab w:val="clear" w:pos="288"/>
                <w:tab w:val="left" w:pos="360"/>
              </w:tabs>
              <w:spacing w:before="95" w:after="101" w:line="188" w:lineRule="exact"/>
              <w:ind w:left="72"/>
              <w:textAlignment w:val="baseline"/>
              <w:rPr>
                <w:rFonts w:eastAsia="Arial" w:cs="Arial"/>
                <w:color w:val="000000"/>
                <w:sz w:val="15"/>
              </w:rPr>
            </w:pPr>
            <w:r w:rsidRPr="00FC4067">
              <w:rPr>
                <w:rFonts w:eastAsia="Arial" w:cs="Arial"/>
                <w:color w:val="000000"/>
                <w:sz w:val="15"/>
              </w:rPr>
              <w:t>Executive management</w:t>
            </w:r>
          </w:p>
        </w:tc>
        <w:tc>
          <w:tcPr>
            <w:tcW w:w="2419" w:type="dxa"/>
            <w:tcBorders>
              <w:top w:val="single" w:sz="4" w:space="0" w:color="000000"/>
              <w:left w:val="single" w:sz="4" w:space="0" w:color="000000"/>
              <w:bottom w:val="single" w:sz="4" w:space="0" w:color="000000"/>
              <w:right w:val="single" w:sz="4" w:space="0" w:color="000000"/>
            </w:tcBorders>
            <w:vAlign w:val="center"/>
          </w:tcPr>
          <w:p w14:paraId="28622075" w14:textId="77777777" w:rsidR="00541191" w:rsidRPr="00FC4067" w:rsidRDefault="00541191" w:rsidP="00040E2E">
            <w:pPr>
              <w:spacing w:before="110" w:after="101" w:line="173" w:lineRule="exact"/>
              <w:ind w:left="82"/>
              <w:textAlignment w:val="baseline"/>
              <w:rPr>
                <w:rFonts w:eastAsia="Arial" w:cs="Arial"/>
                <w:color w:val="000000"/>
                <w:sz w:val="15"/>
              </w:rPr>
            </w:pPr>
            <w:r w:rsidRPr="00FC4067">
              <w:rPr>
                <w:rFonts w:eastAsia="Arial" w:cs="Arial"/>
                <w:color w:val="000000"/>
                <w:sz w:val="15"/>
              </w:rPr>
              <w:t>ARRs — section 13.2</w:t>
            </w:r>
          </w:p>
        </w:tc>
        <w:tc>
          <w:tcPr>
            <w:tcW w:w="1239" w:type="dxa"/>
            <w:tcBorders>
              <w:top w:val="single" w:sz="4" w:space="0" w:color="000000"/>
              <w:left w:val="single" w:sz="4" w:space="0" w:color="000000"/>
              <w:bottom w:val="single" w:sz="4" w:space="0" w:color="000000"/>
              <w:right w:val="none" w:sz="0" w:space="0" w:color="020000"/>
            </w:tcBorders>
          </w:tcPr>
          <w:p w14:paraId="57840245"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42E38C82" w14:textId="77777777" w:rsidTr="00040E2E">
        <w:trPr>
          <w:trHeight w:hRule="exact" w:val="566"/>
        </w:trPr>
        <w:tc>
          <w:tcPr>
            <w:tcW w:w="1502" w:type="dxa"/>
            <w:vMerge/>
            <w:tcBorders>
              <w:top w:val="single" w:sz="0" w:space="0" w:color="000000"/>
              <w:left w:val="none" w:sz="0" w:space="0" w:color="020000"/>
              <w:bottom w:val="single" w:sz="0" w:space="0" w:color="000000"/>
              <w:right w:val="single" w:sz="4" w:space="0" w:color="000000"/>
            </w:tcBorders>
          </w:tcPr>
          <w:p w14:paraId="0D502E44"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tcPr>
          <w:p w14:paraId="580BA544" w14:textId="77777777" w:rsidR="00541191" w:rsidRPr="00FC4067" w:rsidRDefault="00541191" w:rsidP="00DC4782">
            <w:pPr>
              <w:numPr>
                <w:ilvl w:val="0"/>
                <w:numId w:val="17"/>
              </w:numPr>
              <w:tabs>
                <w:tab w:val="clear" w:pos="216"/>
                <w:tab w:val="left" w:pos="360"/>
              </w:tabs>
              <w:spacing w:before="113" w:after="98" w:line="173" w:lineRule="exact"/>
              <w:ind w:left="360" w:right="288" w:hanging="216"/>
              <w:textAlignment w:val="baseline"/>
              <w:rPr>
                <w:rFonts w:eastAsia="Arial" w:cs="Arial"/>
                <w:color w:val="000000"/>
                <w:sz w:val="15"/>
              </w:rPr>
            </w:pPr>
            <w:r w:rsidRPr="00FC4067">
              <w:rPr>
                <w:rFonts w:eastAsia="Arial" w:cs="Arial"/>
                <w:color w:val="000000"/>
                <w:sz w:val="15"/>
              </w:rPr>
              <w:t>Government bodies (statutory bodies and other entities)</w:t>
            </w:r>
          </w:p>
        </w:tc>
        <w:tc>
          <w:tcPr>
            <w:tcW w:w="2419" w:type="dxa"/>
            <w:tcBorders>
              <w:top w:val="single" w:sz="4" w:space="0" w:color="000000"/>
              <w:left w:val="single" w:sz="4" w:space="0" w:color="000000"/>
              <w:bottom w:val="single" w:sz="4" w:space="0" w:color="000000"/>
              <w:right w:val="single" w:sz="4" w:space="0" w:color="000000"/>
            </w:tcBorders>
          </w:tcPr>
          <w:p w14:paraId="51D0153E" w14:textId="77777777" w:rsidR="00541191" w:rsidRPr="00FC4067" w:rsidRDefault="00541191" w:rsidP="00040E2E">
            <w:pPr>
              <w:spacing w:before="113" w:after="271" w:line="173" w:lineRule="exact"/>
              <w:ind w:left="82"/>
              <w:textAlignment w:val="baseline"/>
              <w:rPr>
                <w:rFonts w:eastAsia="Arial" w:cs="Arial"/>
                <w:color w:val="000000"/>
                <w:sz w:val="15"/>
              </w:rPr>
            </w:pPr>
            <w:r w:rsidRPr="00FC4067">
              <w:rPr>
                <w:rFonts w:eastAsia="Arial" w:cs="Arial"/>
                <w:color w:val="000000"/>
                <w:sz w:val="15"/>
              </w:rPr>
              <w:t>ARRs — section 13.3</w:t>
            </w:r>
          </w:p>
        </w:tc>
        <w:tc>
          <w:tcPr>
            <w:tcW w:w="1239" w:type="dxa"/>
            <w:tcBorders>
              <w:top w:val="single" w:sz="4" w:space="0" w:color="000000"/>
              <w:left w:val="single" w:sz="4" w:space="0" w:color="000000"/>
              <w:bottom w:val="single" w:sz="4" w:space="0" w:color="000000"/>
              <w:right w:val="none" w:sz="0" w:space="0" w:color="020000"/>
            </w:tcBorders>
          </w:tcPr>
          <w:p w14:paraId="36CBC8CF"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5920656E" w14:textId="77777777" w:rsidTr="00040E2E">
        <w:trPr>
          <w:trHeight w:hRule="exact" w:val="648"/>
        </w:trPr>
        <w:tc>
          <w:tcPr>
            <w:tcW w:w="1502" w:type="dxa"/>
            <w:vMerge/>
            <w:tcBorders>
              <w:top w:val="single" w:sz="0" w:space="0" w:color="000000"/>
              <w:left w:val="none" w:sz="0" w:space="0" w:color="020000"/>
              <w:bottom w:val="single" w:sz="0" w:space="0" w:color="000000"/>
              <w:right w:val="single" w:sz="4" w:space="0" w:color="000000"/>
            </w:tcBorders>
          </w:tcPr>
          <w:p w14:paraId="2E9232DE"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tcPr>
          <w:p w14:paraId="39B627BF" w14:textId="77777777" w:rsidR="00541191" w:rsidRPr="00FC4067" w:rsidRDefault="00541191" w:rsidP="00DC4782">
            <w:pPr>
              <w:numPr>
                <w:ilvl w:val="0"/>
                <w:numId w:val="18"/>
              </w:numPr>
              <w:tabs>
                <w:tab w:val="clear" w:pos="288"/>
                <w:tab w:val="left" w:pos="360"/>
              </w:tabs>
              <w:spacing w:before="95" w:after="359" w:line="185" w:lineRule="exact"/>
              <w:ind w:left="72"/>
              <w:textAlignment w:val="baseline"/>
              <w:rPr>
                <w:rFonts w:eastAsia="Arial" w:cs="Arial"/>
                <w:i/>
                <w:color w:val="000000"/>
                <w:sz w:val="15"/>
              </w:rPr>
            </w:pPr>
            <w:r w:rsidRPr="00FC4067">
              <w:rPr>
                <w:rFonts w:eastAsia="Arial" w:cs="Arial"/>
                <w:i/>
                <w:color w:val="000000"/>
                <w:sz w:val="15"/>
              </w:rPr>
              <w:t>Public Sector Ethics Act 1994</w:t>
            </w:r>
          </w:p>
        </w:tc>
        <w:tc>
          <w:tcPr>
            <w:tcW w:w="2419" w:type="dxa"/>
            <w:tcBorders>
              <w:top w:val="single" w:sz="4" w:space="0" w:color="000000"/>
              <w:left w:val="single" w:sz="4" w:space="0" w:color="000000"/>
              <w:bottom w:val="single" w:sz="4" w:space="0" w:color="000000"/>
              <w:right w:val="single" w:sz="4" w:space="0" w:color="000000"/>
            </w:tcBorders>
            <w:vAlign w:val="center"/>
          </w:tcPr>
          <w:p w14:paraId="1C1F8D9A" w14:textId="77777777" w:rsidR="00541191" w:rsidRPr="00FC4067" w:rsidRDefault="00541191" w:rsidP="00040E2E">
            <w:pPr>
              <w:spacing w:after="84" w:line="272" w:lineRule="exact"/>
              <w:ind w:left="72"/>
              <w:textAlignment w:val="baseline"/>
              <w:rPr>
                <w:rFonts w:eastAsia="Arial" w:cs="Arial"/>
                <w:i/>
                <w:color w:val="000000"/>
                <w:sz w:val="15"/>
              </w:rPr>
            </w:pPr>
            <w:r w:rsidRPr="00FC4067">
              <w:rPr>
                <w:rFonts w:eastAsia="Arial" w:cs="Arial"/>
                <w:i/>
                <w:color w:val="000000"/>
                <w:sz w:val="15"/>
              </w:rPr>
              <w:t xml:space="preserve">Public Sector Ethics Act 1994 </w:t>
            </w:r>
            <w:r w:rsidRPr="00FC4067">
              <w:rPr>
                <w:rFonts w:eastAsia="Arial" w:cs="Arial"/>
                <w:color w:val="000000"/>
                <w:sz w:val="15"/>
              </w:rPr>
              <w:t>ARRs — section 13.4</w:t>
            </w:r>
          </w:p>
        </w:tc>
        <w:tc>
          <w:tcPr>
            <w:tcW w:w="1239" w:type="dxa"/>
            <w:tcBorders>
              <w:top w:val="single" w:sz="4" w:space="0" w:color="000000"/>
              <w:left w:val="single" w:sz="4" w:space="0" w:color="000000"/>
              <w:bottom w:val="single" w:sz="4" w:space="0" w:color="000000"/>
              <w:right w:val="none" w:sz="0" w:space="0" w:color="020000"/>
            </w:tcBorders>
          </w:tcPr>
          <w:p w14:paraId="0187FDCD"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3F547C69" w14:textId="77777777" w:rsidTr="00040E2E">
        <w:trPr>
          <w:trHeight w:hRule="exact" w:val="389"/>
        </w:trPr>
        <w:tc>
          <w:tcPr>
            <w:tcW w:w="1502" w:type="dxa"/>
            <w:vMerge/>
            <w:tcBorders>
              <w:top w:val="single" w:sz="0" w:space="0" w:color="000000"/>
              <w:left w:val="none" w:sz="0" w:space="0" w:color="020000"/>
              <w:bottom w:val="single" w:sz="4" w:space="0" w:color="000000"/>
              <w:right w:val="single" w:sz="4" w:space="0" w:color="000000"/>
            </w:tcBorders>
          </w:tcPr>
          <w:p w14:paraId="4AE02380"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13BEB214" w14:textId="77777777" w:rsidR="00541191" w:rsidRPr="00FC4067" w:rsidRDefault="00541191" w:rsidP="00DC4782">
            <w:pPr>
              <w:numPr>
                <w:ilvl w:val="0"/>
                <w:numId w:val="18"/>
              </w:numPr>
              <w:tabs>
                <w:tab w:val="clear" w:pos="288"/>
                <w:tab w:val="left" w:pos="360"/>
              </w:tabs>
              <w:spacing w:before="96" w:after="95" w:line="188" w:lineRule="exact"/>
              <w:ind w:left="72"/>
              <w:textAlignment w:val="baseline"/>
              <w:rPr>
                <w:rFonts w:eastAsia="Arial" w:cs="Arial"/>
                <w:color w:val="000000"/>
                <w:sz w:val="15"/>
              </w:rPr>
            </w:pPr>
            <w:r w:rsidRPr="00FC4067">
              <w:rPr>
                <w:rFonts w:eastAsia="Arial" w:cs="Arial"/>
                <w:color w:val="000000"/>
                <w:sz w:val="15"/>
              </w:rPr>
              <w:t>Queensland public service values</w:t>
            </w:r>
          </w:p>
        </w:tc>
        <w:tc>
          <w:tcPr>
            <w:tcW w:w="2419" w:type="dxa"/>
            <w:tcBorders>
              <w:top w:val="single" w:sz="4" w:space="0" w:color="000000"/>
              <w:left w:val="single" w:sz="4" w:space="0" w:color="000000"/>
              <w:bottom w:val="single" w:sz="4" w:space="0" w:color="000000"/>
              <w:right w:val="single" w:sz="4" w:space="0" w:color="000000"/>
            </w:tcBorders>
            <w:vAlign w:val="center"/>
          </w:tcPr>
          <w:p w14:paraId="15C2752C" w14:textId="77777777" w:rsidR="00541191" w:rsidRPr="00FC4067" w:rsidRDefault="00541191" w:rsidP="00040E2E">
            <w:pPr>
              <w:spacing w:before="108" w:after="98" w:line="173" w:lineRule="exact"/>
              <w:ind w:left="82"/>
              <w:textAlignment w:val="baseline"/>
              <w:rPr>
                <w:rFonts w:eastAsia="Arial" w:cs="Arial"/>
                <w:color w:val="000000"/>
                <w:sz w:val="15"/>
              </w:rPr>
            </w:pPr>
            <w:r w:rsidRPr="00FC4067">
              <w:rPr>
                <w:rFonts w:eastAsia="Arial" w:cs="Arial"/>
                <w:color w:val="000000"/>
                <w:sz w:val="15"/>
              </w:rPr>
              <w:t>ARRs — section 13.5</w:t>
            </w:r>
          </w:p>
        </w:tc>
        <w:tc>
          <w:tcPr>
            <w:tcW w:w="1239" w:type="dxa"/>
            <w:tcBorders>
              <w:top w:val="single" w:sz="4" w:space="0" w:color="000000"/>
              <w:left w:val="single" w:sz="4" w:space="0" w:color="000000"/>
              <w:bottom w:val="single" w:sz="4" w:space="0" w:color="000000"/>
              <w:right w:val="none" w:sz="0" w:space="0" w:color="020000"/>
            </w:tcBorders>
          </w:tcPr>
          <w:p w14:paraId="6015CC89"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00769FED" w14:textId="77777777" w:rsidTr="00040E2E">
        <w:trPr>
          <w:trHeight w:hRule="exact" w:val="389"/>
        </w:trPr>
        <w:tc>
          <w:tcPr>
            <w:tcW w:w="1502" w:type="dxa"/>
            <w:vMerge w:val="restart"/>
            <w:tcBorders>
              <w:top w:val="single" w:sz="4" w:space="0" w:color="000000"/>
              <w:left w:val="none" w:sz="0" w:space="0" w:color="020000"/>
              <w:bottom w:val="single" w:sz="0" w:space="0" w:color="000000"/>
              <w:right w:val="single" w:sz="4" w:space="0" w:color="000000"/>
            </w:tcBorders>
          </w:tcPr>
          <w:p w14:paraId="27359D6A" w14:textId="77777777" w:rsidR="00541191" w:rsidRPr="00FC4067" w:rsidRDefault="00541191" w:rsidP="00040E2E">
            <w:pPr>
              <w:spacing w:before="92" w:after="400" w:line="177" w:lineRule="exact"/>
              <w:ind w:left="108" w:right="144"/>
              <w:textAlignment w:val="baseline"/>
              <w:rPr>
                <w:rFonts w:eastAsia="Arial" w:cs="Arial"/>
                <w:color w:val="000000"/>
                <w:spacing w:val="5"/>
                <w:sz w:val="15"/>
              </w:rPr>
            </w:pPr>
            <w:r w:rsidRPr="00FC4067">
              <w:rPr>
                <w:rFonts w:eastAsia="Arial" w:cs="Arial"/>
                <w:color w:val="000000"/>
                <w:spacing w:val="5"/>
                <w:sz w:val="15"/>
              </w:rPr>
              <w:t>Governance — risk management and accountability</w:t>
            </w:r>
          </w:p>
        </w:tc>
        <w:tc>
          <w:tcPr>
            <w:tcW w:w="4080" w:type="dxa"/>
            <w:tcBorders>
              <w:top w:val="single" w:sz="4" w:space="0" w:color="000000"/>
              <w:left w:val="single" w:sz="4" w:space="0" w:color="000000"/>
              <w:bottom w:val="single" w:sz="4" w:space="0" w:color="000000"/>
              <w:right w:val="single" w:sz="4" w:space="0" w:color="000000"/>
            </w:tcBorders>
            <w:vAlign w:val="center"/>
          </w:tcPr>
          <w:p w14:paraId="4EE4BA1B" w14:textId="77777777" w:rsidR="00541191" w:rsidRPr="00FC4067" w:rsidRDefault="00541191" w:rsidP="00DC4782">
            <w:pPr>
              <w:numPr>
                <w:ilvl w:val="0"/>
                <w:numId w:val="18"/>
              </w:numPr>
              <w:tabs>
                <w:tab w:val="clear" w:pos="288"/>
                <w:tab w:val="left" w:pos="360"/>
              </w:tabs>
              <w:spacing w:before="94" w:after="97" w:line="188" w:lineRule="exact"/>
              <w:ind w:left="72"/>
              <w:textAlignment w:val="baseline"/>
              <w:rPr>
                <w:rFonts w:eastAsia="Arial" w:cs="Arial"/>
                <w:color w:val="000000"/>
                <w:sz w:val="15"/>
              </w:rPr>
            </w:pPr>
            <w:r w:rsidRPr="00FC4067">
              <w:rPr>
                <w:rFonts w:eastAsia="Arial" w:cs="Arial"/>
                <w:color w:val="000000"/>
                <w:sz w:val="15"/>
              </w:rPr>
              <w:t>Risk management</w:t>
            </w:r>
          </w:p>
        </w:tc>
        <w:tc>
          <w:tcPr>
            <w:tcW w:w="2419" w:type="dxa"/>
            <w:tcBorders>
              <w:top w:val="single" w:sz="4" w:space="0" w:color="000000"/>
              <w:left w:val="single" w:sz="4" w:space="0" w:color="000000"/>
              <w:bottom w:val="single" w:sz="4" w:space="0" w:color="000000"/>
              <w:right w:val="single" w:sz="4" w:space="0" w:color="000000"/>
            </w:tcBorders>
            <w:vAlign w:val="center"/>
          </w:tcPr>
          <w:p w14:paraId="37C48C67" w14:textId="77777777" w:rsidR="00541191" w:rsidRPr="00FC4067" w:rsidRDefault="00541191" w:rsidP="00040E2E">
            <w:pPr>
              <w:spacing w:before="108" w:after="98" w:line="173" w:lineRule="exact"/>
              <w:ind w:left="82"/>
              <w:textAlignment w:val="baseline"/>
              <w:rPr>
                <w:rFonts w:eastAsia="Arial" w:cs="Arial"/>
                <w:color w:val="000000"/>
                <w:sz w:val="15"/>
              </w:rPr>
            </w:pPr>
            <w:r w:rsidRPr="00FC4067">
              <w:rPr>
                <w:rFonts w:eastAsia="Arial" w:cs="Arial"/>
                <w:color w:val="000000"/>
                <w:sz w:val="15"/>
              </w:rPr>
              <w:t>ARRs — section 14.1</w:t>
            </w:r>
          </w:p>
        </w:tc>
        <w:tc>
          <w:tcPr>
            <w:tcW w:w="1239" w:type="dxa"/>
            <w:tcBorders>
              <w:top w:val="single" w:sz="4" w:space="0" w:color="000000"/>
              <w:left w:val="single" w:sz="4" w:space="0" w:color="000000"/>
              <w:bottom w:val="single" w:sz="4" w:space="0" w:color="000000"/>
              <w:right w:val="none" w:sz="0" w:space="0" w:color="020000"/>
            </w:tcBorders>
          </w:tcPr>
          <w:p w14:paraId="0A4B2928"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17059CFF" w14:textId="77777777" w:rsidTr="00040E2E">
        <w:trPr>
          <w:trHeight w:hRule="exact" w:val="389"/>
        </w:trPr>
        <w:tc>
          <w:tcPr>
            <w:tcW w:w="1502" w:type="dxa"/>
            <w:vMerge/>
            <w:tcBorders>
              <w:top w:val="single" w:sz="0" w:space="0" w:color="000000"/>
              <w:left w:val="none" w:sz="0" w:space="0" w:color="020000"/>
              <w:bottom w:val="single" w:sz="0" w:space="0" w:color="000000"/>
              <w:right w:val="single" w:sz="4" w:space="0" w:color="000000"/>
            </w:tcBorders>
          </w:tcPr>
          <w:p w14:paraId="61E20A02"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37A6D06F" w14:textId="77777777" w:rsidR="00541191" w:rsidRPr="00FC4067" w:rsidRDefault="00541191" w:rsidP="00DC4782">
            <w:pPr>
              <w:numPr>
                <w:ilvl w:val="0"/>
                <w:numId w:val="17"/>
              </w:numPr>
              <w:tabs>
                <w:tab w:val="clear" w:pos="216"/>
                <w:tab w:val="left" w:pos="288"/>
              </w:tabs>
              <w:spacing w:before="93" w:after="98" w:line="188" w:lineRule="exact"/>
              <w:ind w:left="72"/>
              <w:textAlignment w:val="baseline"/>
              <w:rPr>
                <w:rFonts w:eastAsia="Arial" w:cs="Arial"/>
                <w:color w:val="000000"/>
                <w:sz w:val="15"/>
              </w:rPr>
            </w:pPr>
            <w:r w:rsidRPr="00FC4067">
              <w:rPr>
                <w:rFonts w:eastAsia="Arial" w:cs="Arial"/>
                <w:color w:val="000000"/>
                <w:sz w:val="15"/>
              </w:rPr>
              <w:t>Audit committee</w:t>
            </w:r>
          </w:p>
        </w:tc>
        <w:tc>
          <w:tcPr>
            <w:tcW w:w="2419" w:type="dxa"/>
            <w:tcBorders>
              <w:top w:val="single" w:sz="4" w:space="0" w:color="000000"/>
              <w:left w:val="single" w:sz="4" w:space="0" w:color="000000"/>
              <w:bottom w:val="single" w:sz="4" w:space="0" w:color="000000"/>
              <w:right w:val="single" w:sz="4" w:space="0" w:color="000000"/>
            </w:tcBorders>
            <w:vAlign w:val="center"/>
          </w:tcPr>
          <w:p w14:paraId="1597123C" w14:textId="77777777" w:rsidR="00541191" w:rsidRPr="00FC4067" w:rsidRDefault="00541191" w:rsidP="00040E2E">
            <w:pPr>
              <w:spacing w:before="111" w:after="95" w:line="173" w:lineRule="exact"/>
              <w:ind w:left="82"/>
              <w:textAlignment w:val="baseline"/>
              <w:rPr>
                <w:rFonts w:eastAsia="Arial" w:cs="Arial"/>
                <w:color w:val="000000"/>
                <w:sz w:val="15"/>
              </w:rPr>
            </w:pPr>
            <w:r w:rsidRPr="00FC4067">
              <w:rPr>
                <w:rFonts w:eastAsia="Arial" w:cs="Arial"/>
                <w:color w:val="000000"/>
                <w:sz w:val="15"/>
              </w:rPr>
              <w:t>ARRs — section 14.2</w:t>
            </w:r>
          </w:p>
        </w:tc>
        <w:tc>
          <w:tcPr>
            <w:tcW w:w="1239" w:type="dxa"/>
            <w:tcBorders>
              <w:top w:val="single" w:sz="4" w:space="0" w:color="000000"/>
              <w:left w:val="single" w:sz="4" w:space="0" w:color="000000"/>
              <w:bottom w:val="single" w:sz="4" w:space="0" w:color="000000"/>
              <w:right w:val="none" w:sz="0" w:space="0" w:color="020000"/>
            </w:tcBorders>
          </w:tcPr>
          <w:p w14:paraId="5FA34E74"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r w:rsidR="00541191" w:rsidRPr="00FC4067" w14:paraId="4B0AD99F" w14:textId="77777777" w:rsidTr="00040E2E">
        <w:trPr>
          <w:trHeight w:hRule="exact" w:val="427"/>
        </w:trPr>
        <w:tc>
          <w:tcPr>
            <w:tcW w:w="1502" w:type="dxa"/>
            <w:vMerge/>
            <w:tcBorders>
              <w:top w:val="single" w:sz="0" w:space="0" w:color="000000"/>
              <w:left w:val="none" w:sz="0" w:space="0" w:color="020000"/>
              <w:bottom w:val="none" w:sz="0" w:space="0" w:color="020000"/>
              <w:right w:val="single" w:sz="4" w:space="0" w:color="000000"/>
            </w:tcBorders>
          </w:tcPr>
          <w:p w14:paraId="4D64A8D8" w14:textId="77777777" w:rsidR="00541191" w:rsidRPr="00FC4067" w:rsidRDefault="00541191" w:rsidP="00040E2E">
            <w:pPr>
              <w:rPr>
                <w:rFonts w:cs="Arial"/>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29AE47E1" w14:textId="77777777" w:rsidR="00541191" w:rsidRPr="00FC4067" w:rsidRDefault="00541191" w:rsidP="00DC4782">
            <w:pPr>
              <w:numPr>
                <w:ilvl w:val="0"/>
                <w:numId w:val="17"/>
              </w:numPr>
              <w:tabs>
                <w:tab w:val="clear" w:pos="216"/>
                <w:tab w:val="left" w:pos="288"/>
              </w:tabs>
              <w:spacing w:before="93" w:after="141" w:line="188" w:lineRule="exact"/>
              <w:ind w:left="72"/>
              <w:textAlignment w:val="baseline"/>
              <w:rPr>
                <w:rFonts w:eastAsia="Arial" w:cs="Arial"/>
                <w:color w:val="000000"/>
                <w:sz w:val="15"/>
              </w:rPr>
            </w:pPr>
            <w:r w:rsidRPr="00FC4067">
              <w:rPr>
                <w:rFonts w:eastAsia="Arial" w:cs="Arial"/>
                <w:color w:val="000000"/>
                <w:sz w:val="15"/>
              </w:rPr>
              <w:t>Internal audit</w:t>
            </w:r>
          </w:p>
        </w:tc>
        <w:tc>
          <w:tcPr>
            <w:tcW w:w="2419" w:type="dxa"/>
            <w:tcBorders>
              <w:top w:val="single" w:sz="4" w:space="0" w:color="000000"/>
              <w:left w:val="single" w:sz="4" w:space="0" w:color="000000"/>
              <w:bottom w:val="single" w:sz="4" w:space="0" w:color="000000"/>
              <w:right w:val="single" w:sz="4" w:space="0" w:color="000000"/>
            </w:tcBorders>
            <w:vAlign w:val="center"/>
          </w:tcPr>
          <w:p w14:paraId="1E083B50" w14:textId="77777777" w:rsidR="00541191" w:rsidRPr="00FC4067" w:rsidRDefault="00541191" w:rsidP="00040E2E">
            <w:pPr>
              <w:spacing w:before="108" w:after="141" w:line="173" w:lineRule="exact"/>
              <w:ind w:left="82"/>
              <w:textAlignment w:val="baseline"/>
              <w:rPr>
                <w:rFonts w:eastAsia="Arial" w:cs="Arial"/>
                <w:color w:val="000000"/>
                <w:sz w:val="15"/>
              </w:rPr>
            </w:pPr>
            <w:r w:rsidRPr="00FC4067">
              <w:rPr>
                <w:rFonts w:eastAsia="Arial" w:cs="Arial"/>
                <w:color w:val="000000"/>
                <w:sz w:val="15"/>
              </w:rPr>
              <w:t>ARRs — section 14.3</w:t>
            </w:r>
          </w:p>
        </w:tc>
        <w:tc>
          <w:tcPr>
            <w:tcW w:w="1239" w:type="dxa"/>
            <w:tcBorders>
              <w:top w:val="single" w:sz="4" w:space="0" w:color="000000"/>
              <w:left w:val="single" w:sz="4" w:space="0" w:color="000000"/>
              <w:bottom w:val="single" w:sz="4" w:space="0" w:color="000000"/>
              <w:right w:val="none" w:sz="0" w:space="0" w:color="020000"/>
            </w:tcBorders>
          </w:tcPr>
          <w:p w14:paraId="3CD824DC" w14:textId="77777777" w:rsidR="00541191" w:rsidRPr="00FC4067" w:rsidRDefault="00541191" w:rsidP="00040E2E">
            <w:pPr>
              <w:textAlignment w:val="baseline"/>
              <w:rPr>
                <w:rFonts w:eastAsia="Arial" w:cs="Arial"/>
                <w:color w:val="000000"/>
                <w:sz w:val="24"/>
              </w:rPr>
            </w:pPr>
            <w:r w:rsidRPr="00FC4067">
              <w:rPr>
                <w:rFonts w:eastAsia="Arial" w:cs="Arial"/>
                <w:color w:val="000000"/>
                <w:sz w:val="24"/>
              </w:rPr>
              <w:t xml:space="preserve"> </w:t>
            </w:r>
          </w:p>
        </w:tc>
      </w:tr>
    </w:tbl>
    <w:p w14:paraId="1CF2D757" w14:textId="77777777" w:rsidR="00CF2F6A" w:rsidRPr="00FC4067" w:rsidRDefault="00CF2F6A">
      <w:r w:rsidRPr="00FC4067">
        <w:br w:type="page"/>
      </w:r>
    </w:p>
    <w:tbl>
      <w:tblPr>
        <w:tblW w:w="0" w:type="auto"/>
        <w:tblLayout w:type="fixed"/>
        <w:tblCellMar>
          <w:left w:w="0" w:type="dxa"/>
          <w:right w:w="0" w:type="dxa"/>
        </w:tblCellMar>
        <w:tblLook w:val="04A0" w:firstRow="1" w:lastRow="0" w:firstColumn="1" w:lastColumn="0" w:noHBand="0" w:noVBand="1"/>
      </w:tblPr>
      <w:tblGrid>
        <w:gridCol w:w="1515"/>
        <w:gridCol w:w="4075"/>
        <w:gridCol w:w="2424"/>
        <w:gridCol w:w="1226"/>
      </w:tblGrid>
      <w:tr w:rsidR="00541191" w:rsidRPr="00FC4067" w14:paraId="01F47D1A" w14:textId="77777777" w:rsidTr="00040E2E">
        <w:trPr>
          <w:trHeight w:hRule="exact" w:val="835"/>
        </w:trPr>
        <w:tc>
          <w:tcPr>
            <w:tcW w:w="5590" w:type="dxa"/>
            <w:gridSpan w:val="2"/>
            <w:tcBorders>
              <w:top w:val="single" w:sz="4" w:space="0" w:color="000000"/>
              <w:left w:val="none" w:sz="0" w:space="0" w:color="020000"/>
              <w:bottom w:val="single" w:sz="4" w:space="0" w:color="000000"/>
              <w:right w:val="single" w:sz="4" w:space="0" w:color="000000"/>
            </w:tcBorders>
            <w:vAlign w:val="center"/>
          </w:tcPr>
          <w:p w14:paraId="76C5EDFD" w14:textId="7F272CE9" w:rsidR="00541191" w:rsidRPr="00FC4067" w:rsidRDefault="00541191" w:rsidP="00040E2E">
            <w:pPr>
              <w:spacing w:before="335" w:after="321" w:line="174" w:lineRule="exact"/>
              <w:ind w:left="132"/>
              <w:textAlignment w:val="baseline"/>
              <w:rPr>
                <w:rFonts w:eastAsia="Arial"/>
                <w:color w:val="000000"/>
                <w:sz w:val="15"/>
              </w:rPr>
            </w:pPr>
            <w:r w:rsidRPr="00FC4067">
              <w:rPr>
                <w:rFonts w:eastAsia="Arial"/>
                <w:color w:val="000000"/>
                <w:sz w:val="15"/>
              </w:rPr>
              <w:lastRenderedPageBreak/>
              <w:t>Summary of requirement</w:t>
            </w:r>
          </w:p>
        </w:tc>
        <w:tc>
          <w:tcPr>
            <w:tcW w:w="2424" w:type="dxa"/>
            <w:tcBorders>
              <w:top w:val="single" w:sz="4" w:space="0" w:color="000000"/>
              <w:left w:val="single" w:sz="4" w:space="0" w:color="000000"/>
              <w:bottom w:val="single" w:sz="4" w:space="0" w:color="000000"/>
              <w:right w:val="single" w:sz="4" w:space="0" w:color="000000"/>
            </w:tcBorders>
            <w:vAlign w:val="center"/>
          </w:tcPr>
          <w:p w14:paraId="2247F195" w14:textId="77777777" w:rsidR="00541191" w:rsidRPr="00FC4067" w:rsidRDefault="00541191" w:rsidP="00040E2E">
            <w:pPr>
              <w:spacing w:before="343" w:after="313" w:line="174" w:lineRule="exact"/>
              <w:ind w:right="277"/>
              <w:jc w:val="right"/>
              <w:textAlignment w:val="baseline"/>
              <w:rPr>
                <w:rFonts w:eastAsia="Arial"/>
                <w:color w:val="000000"/>
                <w:sz w:val="15"/>
              </w:rPr>
            </w:pPr>
            <w:r w:rsidRPr="00FC4067">
              <w:rPr>
                <w:rFonts w:eastAsia="Arial"/>
                <w:color w:val="000000"/>
                <w:sz w:val="15"/>
              </w:rPr>
              <w:t>Basis for requirement</w:t>
            </w:r>
          </w:p>
        </w:tc>
        <w:tc>
          <w:tcPr>
            <w:tcW w:w="1226" w:type="dxa"/>
            <w:tcBorders>
              <w:top w:val="single" w:sz="4" w:space="0" w:color="000000"/>
              <w:left w:val="single" w:sz="4" w:space="0" w:color="000000"/>
              <w:bottom w:val="single" w:sz="4" w:space="0" w:color="000000"/>
              <w:right w:val="none" w:sz="0" w:space="0" w:color="020000"/>
            </w:tcBorders>
            <w:vAlign w:val="center"/>
          </w:tcPr>
          <w:p w14:paraId="3D0B9F8B" w14:textId="77777777" w:rsidR="00541191" w:rsidRPr="00FC4067" w:rsidRDefault="00541191" w:rsidP="00040E2E">
            <w:pPr>
              <w:spacing w:before="122" w:after="111" w:line="199" w:lineRule="exact"/>
              <w:jc w:val="center"/>
              <w:textAlignment w:val="baseline"/>
              <w:rPr>
                <w:rFonts w:eastAsia="Arial"/>
                <w:color w:val="000000"/>
                <w:sz w:val="15"/>
              </w:rPr>
            </w:pPr>
            <w:r w:rsidRPr="00FC4067">
              <w:rPr>
                <w:rFonts w:eastAsia="Arial"/>
                <w:color w:val="000000"/>
                <w:sz w:val="15"/>
              </w:rPr>
              <w:t xml:space="preserve">Annual </w:t>
            </w:r>
            <w:r w:rsidRPr="00FC4067">
              <w:rPr>
                <w:rFonts w:eastAsia="Arial"/>
                <w:color w:val="000000"/>
                <w:sz w:val="15"/>
              </w:rPr>
              <w:br/>
              <w:t xml:space="preserve">report </w:t>
            </w:r>
            <w:r w:rsidRPr="00FC4067">
              <w:rPr>
                <w:rFonts w:eastAsia="Arial"/>
                <w:color w:val="000000"/>
                <w:sz w:val="15"/>
              </w:rPr>
              <w:br/>
              <w:t>reference</w:t>
            </w:r>
          </w:p>
        </w:tc>
      </w:tr>
      <w:tr w:rsidR="00541191" w:rsidRPr="00FC4067" w14:paraId="33800E5E" w14:textId="77777777" w:rsidTr="00040E2E">
        <w:trPr>
          <w:trHeight w:hRule="exact" w:val="418"/>
        </w:trPr>
        <w:tc>
          <w:tcPr>
            <w:tcW w:w="1515" w:type="dxa"/>
            <w:vMerge w:val="restart"/>
            <w:tcBorders>
              <w:top w:val="single" w:sz="4" w:space="0" w:color="000000"/>
              <w:left w:val="none" w:sz="0" w:space="0" w:color="020000"/>
              <w:bottom w:val="single" w:sz="0" w:space="0" w:color="000000"/>
              <w:right w:val="single" w:sz="4" w:space="0" w:color="000000"/>
            </w:tcBorders>
          </w:tcPr>
          <w:p w14:paraId="1B700D9D"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c>
          <w:tcPr>
            <w:tcW w:w="4075" w:type="dxa"/>
            <w:tcBorders>
              <w:top w:val="single" w:sz="4" w:space="0" w:color="000000"/>
              <w:left w:val="single" w:sz="4" w:space="0" w:color="000000"/>
              <w:bottom w:val="single" w:sz="4" w:space="0" w:color="000000"/>
              <w:right w:val="single" w:sz="4" w:space="0" w:color="000000"/>
            </w:tcBorders>
            <w:vAlign w:val="center"/>
          </w:tcPr>
          <w:p w14:paraId="34C6F83C" w14:textId="77777777" w:rsidR="00541191" w:rsidRPr="00FC4067" w:rsidRDefault="00541191" w:rsidP="00DC4782">
            <w:pPr>
              <w:numPr>
                <w:ilvl w:val="0"/>
                <w:numId w:val="18"/>
              </w:numPr>
              <w:tabs>
                <w:tab w:val="clear" w:pos="288"/>
                <w:tab w:val="left" w:pos="360"/>
              </w:tabs>
              <w:spacing w:before="101" w:after="123" w:line="189" w:lineRule="exact"/>
              <w:ind w:left="72"/>
              <w:textAlignment w:val="baseline"/>
              <w:rPr>
                <w:rFonts w:eastAsia="Arial"/>
                <w:color w:val="000000"/>
                <w:sz w:val="15"/>
              </w:rPr>
            </w:pPr>
            <w:r w:rsidRPr="00FC4067">
              <w:rPr>
                <w:rFonts w:eastAsia="Arial"/>
                <w:color w:val="000000"/>
                <w:sz w:val="15"/>
              </w:rPr>
              <w:t>External scrutiny</w:t>
            </w:r>
          </w:p>
        </w:tc>
        <w:tc>
          <w:tcPr>
            <w:tcW w:w="2424" w:type="dxa"/>
            <w:tcBorders>
              <w:top w:val="single" w:sz="4" w:space="0" w:color="000000"/>
              <w:left w:val="single" w:sz="4" w:space="0" w:color="000000"/>
              <w:bottom w:val="single" w:sz="4" w:space="0" w:color="000000"/>
              <w:right w:val="single" w:sz="4" w:space="0" w:color="000000"/>
            </w:tcBorders>
            <w:vAlign w:val="center"/>
          </w:tcPr>
          <w:p w14:paraId="502DE91E" w14:textId="77777777" w:rsidR="00541191" w:rsidRPr="00FC4067" w:rsidRDefault="00541191" w:rsidP="00040E2E">
            <w:pPr>
              <w:spacing w:before="113" w:after="126" w:line="174" w:lineRule="exact"/>
              <w:ind w:left="91"/>
              <w:textAlignment w:val="baseline"/>
              <w:rPr>
                <w:rFonts w:eastAsia="Arial"/>
                <w:color w:val="000000"/>
                <w:sz w:val="15"/>
              </w:rPr>
            </w:pPr>
            <w:r w:rsidRPr="00FC4067">
              <w:rPr>
                <w:rFonts w:eastAsia="Arial"/>
                <w:color w:val="000000"/>
                <w:sz w:val="15"/>
              </w:rPr>
              <w:t>ARRs — section 14.4</w:t>
            </w:r>
          </w:p>
        </w:tc>
        <w:tc>
          <w:tcPr>
            <w:tcW w:w="1226" w:type="dxa"/>
            <w:tcBorders>
              <w:top w:val="single" w:sz="4" w:space="0" w:color="000000"/>
              <w:left w:val="single" w:sz="4" w:space="0" w:color="000000"/>
              <w:bottom w:val="single" w:sz="4" w:space="0" w:color="000000"/>
              <w:right w:val="none" w:sz="0" w:space="0" w:color="020000"/>
            </w:tcBorders>
          </w:tcPr>
          <w:p w14:paraId="0C54FD24"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04D45E9F" w14:textId="77777777" w:rsidTr="00040E2E">
        <w:trPr>
          <w:trHeight w:hRule="exact" w:val="413"/>
        </w:trPr>
        <w:tc>
          <w:tcPr>
            <w:tcW w:w="1515" w:type="dxa"/>
            <w:vMerge/>
            <w:tcBorders>
              <w:top w:val="single" w:sz="0" w:space="0" w:color="000000"/>
              <w:left w:val="none" w:sz="0" w:space="0" w:color="020000"/>
              <w:bottom w:val="single" w:sz="4" w:space="0" w:color="000000"/>
              <w:right w:val="single" w:sz="4" w:space="0" w:color="000000"/>
            </w:tcBorders>
          </w:tcPr>
          <w:p w14:paraId="52B40024" w14:textId="77777777" w:rsidR="00541191" w:rsidRPr="00FC4067" w:rsidRDefault="00541191" w:rsidP="00040E2E"/>
        </w:tc>
        <w:tc>
          <w:tcPr>
            <w:tcW w:w="4075" w:type="dxa"/>
            <w:tcBorders>
              <w:top w:val="single" w:sz="4" w:space="0" w:color="000000"/>
              <w:left w:val="single" w:sz="4" w:space="0" w:color="000000"/>
              <w:bottom w:val="single" w:sz="4" w:space="0" w:color="000000"/>
              <w:right w:val="single" w:sz="4" w:space="0" w:color="000000"/>
            </w:tcBorders>
            <w:vAlign w:val="center"/>
          </w:tcPr>
          <w:p w14:paraId="5E7656AB" w14:textId="77777777" w:rsidR="00541191" w:rsidRPr="00FC4067" w:rsidRDefault="00541191" w:rsidP="00DC4782">
            <w:pPr>
              <w:numPr>
                <w:ilvl w:val="0"/>
                <w:numId w:val="18"/>
              </w:numPr>
              <w:tabs>
                <w:tab w:val="clear" w:pos="288"/>
                <w:tab w:val="left" w:pos="360"/>
              </w:tabs>
              <w:spacing w:before="97" w:after="126" w:line="189" w:lineRule="exact"/>
              <w:ind w:left="72"/>
              <w:textAlignment w:val="baseline"/>
              <w:rPr>
                <w:rFonts w:eastAsia="Arial"/>
                <w:color w:val="000000"/>
                <w:sz w:val="15"/>
              </w:rPr>
            </w:pPr>
            <w:r w:rsidRPr="00FC4067">
              <w:rPr>
                <w:rFonts w:eastAsia="Arial"/>
                <w:color w:val="000000"/>
                <w:sz w:val="15"/>
              </w:rPr>
              <w:t>Information systems and recordkeeping</w:t>
            </w:r>
          </w:p>
        </w:tc>
        <w:tc>
          <w:tcPr>
            <w:tcW w:w="2424" w:type="dxa"/>
            <w:tcBorders>
              <w:top w:val="single" w:sz="4" w:space="0" w:color="000000"/>
              <w:left w:val="single" w:sz="4" w:space="0" w:color="000000"/>
              <w:bottom w:val="single" w:sz="4" w:space="0" w:color="000000"/>
              <w:right w:val="single" w:sz="4" w:space="0" w:color="000000"/>
            </w:tcBorders>
            <w:vAlign w:val="center"/>
          </w:tcPr>
          <w:p w14:paraId="7CE7C60B" w14:textId="77777777" w:rsidR="00541191" w:rsidRPr="00FC4067" w:rsidRDefault="00541191" w:rsidP="00040E2E">
            <w:pPr>
              <w:spacing w:before="108" w:after="130" w:line="174" w:lineRule="exact"/>
              <w:ind w:left="91"/>
              <w:textAlignment w:val="baseline"/>
              <w:rPr>
                <w:rFonts w:eastAsia="Arial"/>
                <w:color w:val="000000"/>
                <w:sz w:val="15"/>
              </w:rPr>
            </w:pPr>
            <w:r w:rsidRPr="00FC4067">
              <w:rPr>
                <w:rFonts w:eastAsia="Arial"/>
                <w:color w:val="000000"/>
                <w:sz w:val="15"/>
              </w:rPr>
              <w:t>ARRs — section 14.5</w:t>
            </w:r>
          </w:p>
        </w:tc>
        <w:tc>
          <w:tcPr>
            <w:tcW w:w="1226" w:type="dxa"/>
            <w:tcBorders>
              <w:top w:val="single" w:sz="4" w:space="0" w:color="000000"/>
              <w:left w:val="single" w:sz="4" w:space="0" w:color="000000"/>
              <w:bottom w:val="single" w:sz="4" w:space="0" w:color="000000"/>
              <w:right w:val="none" w:sz="0" w:space="0" w:color="020000"/>
            </w:tcBorders>
          </w:tcPr>
          <w:p w14:paraId="62A591B9"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17E54870" w14:textId="77777777" w:rsidTr="00040E2E">
        <w:trPr>
          <w:trHeight w:hRule="exact" w:val="393"/>
        </w:trPr>
        <w:tc>
          <w:tcPr>
            <w:tcW w:w="1515" w:type="dxa"/>
            <w:vMerge w:val="restart"/>
            <w:tcBorders>
              <w:top w:val="single" w:sz="4" w:space="0" w:color="000000"/>
              <w:left w:val="none" w:sz="0" w:space="0" w:color="020000"/>
              <w:bottom w:val="single" w:sz="0" w:space="0" w:color="000000"/>
              <w:right w:val="single" w:sz="4" w:space="0" w:color="000000"/>
            </w:tcBorders>
          </w:tcPr>
          <w:p w14:paraId="623EA944" w14:textId="77777777" w:rsidR="00541191" w:rsidRPr="00FC4067" w:rsidRDefault="00541191" w:rsidP="00040E2E">
            <w:pPr>
              <w:spacing w:before="103" w:line="173" w:lineRule="exact"/>
              <w:ind w:left="144"/>
              <w:textAlignment w:val="baseline"/>
              <w:rPr>
                <w:rFonts w:eastAsia="Arial"/>
                <w:color w:val="000000"/>
                <w:sz w:val="15"/>
              </w:rPr>
            </w:pPr>
            <w:r w:rsidRPr="00FC4067">
              <w:rPr>
                <w:rFonts w:eastAsia="Arial"/>
                <w:color w:val="000000"/>
                <w:sz w:val="15"/>
              </w:rPr>
              <w:t>Governance — human</w:t>
            </w:r>
          </w:p>
          <w:p w14:paraId="18F075B0" w14:textId="77777777" w:rsidR="00541191" w:rsidRPr="00FC4067" w:rsidRDefault="00541191" w:rsidP="00040E2E">
            <w:pPr>
              <w:spacing w:before="5" w:after="1560" w:line="174" w:lineRule="exact"/>
              <w:ind w:left="144"/>
              <w:textAlignment w:val="baseline"/>
              <w:rPr>
                <w:rFonts w:eastAsia="Arial"/>
                <w:color w:val="000000"/>
                <w:sz w:val="15"/>
              </w:rPr>
            </w:pPr>
            <w:r w:rsidRPr="00FC4067">
              <w:rPr>
                <w:rFonts w:eastAsia="Arial"/>
                <w:color w:val="000000"/>
                <w:sz w:val="15"/>
              </w:rPr>
              <w:t>resources</w:t>
            </w:r>
          </w:p>
        </w:tc>
        <w:tc>
          <w:tcPr>
            <w:tcW w:w="4075" w:type="dxa"/>
            <w:tcBorders>
              <w:top w:val="single" w:sz="4" w:space="0" w:color="000000"/>
              <w:left w:val="single" w:sz="4" w:space="0" w:color="000000"/>
              <w:bottom w:val="single" w:sz="4" w:space="0" w:color="000000"/>
              <w:right w:val="single" w:sz="4" w:space="0" w:color="000000"/>
            </w:tcBorders>
            <w:vAlign w:val="center"/>
          </w:tcPr>
          <w:p w14:paraId="5BDFAE90" w14:textId="77777777" w:rsidR="00541191" w:rsidRPr="00FC4067" w:rsidRDefault="00541191" w:rsidP="00DC4782">
            <w:pPr>
              <w:numPr>
                <w:ilvl w:val="0"/>
                <w:numId w:val="18"/>
              </w:numPr>
              <w:tabs>
                <w:tab w:val="clear" w:pos="288"/>
                <w:tab w:val="left" w:pos="360"/>
              </w:tabs>
              <w:spacing w:before="99" w:after="100" w:line="189" w:lineRule="exact"/>
              <w:ind w:left="72"/>
              <w:textAlignment w:val="baseline"/>
              <w:rPr>
                <w:rFonts w:eastAsia="Arial"/>
                <w:color w:val="000000"/>
                <w:sz w:val="15"/>
              </w:rPr>
            </w:pPr>
            <w:r w:rsidRPr="00FC4067">
              <w:rPr>
                <w:rFonts w:eastAsia="Arial"/>
                <w:color w:val="000000"/>
                <w:sz w:val="15"/>
              </w:rPr>
              <w:t>Workforce planning and performance</w:t>
            </w:r>
          </w:p>
        </w:tc>
        <w:tc>
          <w:tcPr>
            <w:tcW w:w="2424" w:type="dxa"/>
            <w:tcBorders>
              <w:top w:val="single" w:sz="4" w:space="0" w:color="000000"/>
              <w:left w:val="single" w:sz="4" w:space="0" w:color="000000"/>
              <w:bottom w:val="single" w:sz="4" w:space="0" w:color="000000"/>
              <w:right w:val="single" w:sz="4" w:space="0" w:color="000000"/>
            </w:tcBorders>
            <w:vAlign w:val="center"/>
          </w:tcPr>
          <w:p w14:paraId="2F38AB0C" w14:textId="77777777" w:rsidR="00541191" w:rsidRPr="00FC4067" w:rsidRDefault="00541191" w:rsidP="00040E2E">
            <w:pPr>
              <w:spacing w:before="110" w:after="104" w:line="174" w:lineRule="exact"/>
              <w:ind w:left="91"/>
              <w:textAlignment w:val="baseline"/>
              <w:rPr>
                <w:rFonts w:eastAsia="Arial"/>
                <w:color w:val="000000"/>
                <w:sz w:val="15"/>
              </w:rPr>
            </w:pPr>
            <w:r w:rsidRPr="00FC4067">
              <w:rPr>
                <w:rFonts w:eastAsia="Arial"/>
                <w:color w:val="000000"/>
                <w:sz w:val="15"/>
              </w:rPr>
              <w:t>ARRs — section 15.1</w:t>
            </w:r>
          </w:p>
        </w:tc>
        <w:tc>
          <w:tcPr>
            <w:tcW w:w="1226" w:type="dxa"/>
            <w:tcBorders>
              <w:top w:val="single" w:sz="4" w:space="0" w:color="000000"/>
              <w:left w:val="single" w:sz="4" w:space="0" w:color="000000"/>
              <w:bottom w:val="single" w:sz="4" w:space="0" w:color="000000"/>
              <w:right w:val="none" w:sz="0" w:space="0" w:color="020000"/>
            </w:tcBorders>
          </w:tcPr>
          <w:p w14:paraId="2C06B1F2"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1B281F76" w14:textId="77777777" w:rsidTr="00040E2E">
        <w:trPr>
          <w:trHeight w:hRule="exact" w:val="1805"/>
        </w:trPr>
        <w:tc>
          <w:tcPr>
            <w:tcW w:w="1515" w:type="dxa"/>
            <w:vMerge/>
            <w:tcBorders>
              <w:top w:val="single" w:sz="0" w:space="0" w:color="000000"/>
              <w:left w:val="none" w:sz="0" w:space="0" w:color="020000"/>
              <w:bottom w:val="single" w:sz="4" w:space="0" w:color="000000"/>
              <w:right w:val="single" w:sz="4" w:space="0" w:color="000000"/>
            </w:tcBorders>
          </w:tcPr>
          <w:p w14:paraId="5218BB04" w14:textId="77777777" w:rsidR="00541191" w:rsidRPr="00FC4067" w:rsidRDefault="00541191" w:rsidP="00040E2E"/>
        </w:tc>
        <w:tc>
          <w:tcPr>
            <w:tcW w:w="4075" w:type="dxa"/>
            <w:tcBorders>
              <w:top w:val="single" w:sz="4" w:space="0" w:color="000000"/>
              <w:left w:val="single" w:sz="4" w:space="0" w:color="000000"/>
              <w:bottom w:val="single" w:sz="4" w:space="0" w:color="000000"/>
              <w:right w:val="single" w:sz="4" w:space="0" w:color="000000"/>
            </w:tcBorders>
          </w:tcPr>
          <w:p w14:paraId="19CB697D" w14:textId="77777777" w:rsidR="00541191" w:rsidRPr="00FC4067" w:rsidRDefault="00541191" w:rsidP="00DC4782">
            <w:pPr>
              <w:numPr>
                <w:ilvl w:val="0"/>
                <w:numId w:val="18"/>
              </w:numPr>
              <w:tabs>
                <w:tab w:val="clear" w:pos="288"/>
                <w:tab w:val="left" w:pos="360"/>
              </w:tabs>
              <w:spacing w:before="98" w:after="1508" w:line="189" w:lineRule="exact"/>
              <w:ind w:left="72"/>
              <w:textAlignment w:val="baseline"/>
              <w:rPr>
                <w:rFonts w:eastAsia="Arial"/>
                <w:color w:val="000000"/>
                <w:sz w:val="15"/>
              </w:rPr>
            </w:pPr>
            <w:r w:rsidRPr="00FC4067">
              <w:rPr>
                <w:rFonts w:eastAsia="Arial"/>
                <w:color w:val="000000"/>
                <w:sz w:val="15"/>
              </w:rPr>
              <w:t>Early retirement, redundancy and retrenchment</w:t>
            </w:r>
          </w:p>
        </w:tc>
        <w:tc>
          <w:tcPr>
            <w:tcW w:w="2424" w:type="dxa"/>
            <w:tcBorders>
              <w:top w:val="single" w:sz="4" w:space="0" w:color="000000"/>
              <w:left w:val="single" w:sz="4" w:space="0" w:color="000000"/>
              <w:bottom w:val="single" w:sz="4" w:space="0" w:color="000000"/>
              <w:right w:val="single" w:sz="4" w:space="0" w:color="000000"/>
            </w:tcBorders>
          </w:tcPr>
          <w:p w14:paraId="2B9A9C81" w14:textId="77777777" w:rsidR="00541191" w:rsidRPr="00FC4067" w:rsidRDefault="00541191" w:rsidP="00040E2E">
            <w:pPr>
              <w:spacing w:before="106" w:line="176" w:lineRule="exact"/>
              <w:ind w:left="144"/>
              <w:textAlignment w:val="baseline"/>
              <w:rPr>
                <w:rFonts w:eastAsia="Arial"/>
                <w:color w:val="000000"/>
                <w:sz w:val="15"/>
              </w:rPr>
            </w:pPr>
            <w:r w:rsidRPr="00FC4067">
              <w:rPr>
                <w:rFonts w:eastAsia="Arial"/>
                <w:color w:val="000000"/>
                <w:sz w:val="15"/>
              </w:rPr>
              <w:t xml:space="preserve">Directive No.11/12 </w:t>
            </w:r>
            <w:r w:rsidRPr="00FC4067">
              <w:rPr>
                <w:rFonts w:eastAsia="Arial"/>
                <w:i/>
                <w:color w:val="000000"/>
                <w:sz w:val="15"/>
              </w:rPr>
              <w:t>Early Retirement, Redundancy and Retrenchment</w:t>
            </w:r>
          </w:p>
          <w:p w14:paraId="6572CE43" w14:textId="77777777" w:rsidR="00541191" w:rsidRPr="00FC4067" w:rsidRDefault="00541191" w:rsidP="00040E2E">
            <w:pPr>
              <w:spacing w:before="101" w:line="176" w:lineRule="exact"/>
              <w:ind w:left="144" w:right="288"/>
              <w:textAlignment w:val="baseline"/>
              <w:rPr>
                <w:rFonts w:eastAsia="Arial"/>
                <w:color w:val="000000"/>
                <w:sz w:val="15"/>
              </w:rPr>
            </w:pPr>
            <w:r w:rsidRPr="00FC4067">
              <w:rPr>
                <w:rFonts w:eastAsia="Arial"/>
                <w:color w:val="000000"/>
                <w:sz w:val="15"/>
              </w:rPr>
              <w:t xml:space="preserve">Directive No.16/16 </w:t>
            </w:r>
            <w:r w:rsidRPr="00FC4067">
              <w:rPr>
                <w:rFonts w:eastAsia="Arial"/>
                <w:i/>
                <w:color w:val="000000"/>
                <w:sz w:val="15"/>
              </w:rPr>
              <w:t xml:space="preserve">Early Retirement, Redundancy and Retrenchment </w:t>
            </w:r>
            <w:r w:rsidRPr="00FC4067">
              <w:rPr>
                <w:rFonts w:eastAsia="Arial"/>
                <w:color w:val="000000"/>
                <w:sz w:val="15"/>
              </w:rPr>
              <w:t>(from 20 May 2016)</w:t>
            </w:r>
          </w:p>
          <w:p w14:paraId="005FD289" w14:textId="77777777" w:rsidR="00541191" w:rsidRPr="00FC4067" w:rsidRDefault="00541191" w:rsidP="00040E2E">
            <w:pPr>
              <w:spacing w:before="99" w:after="83" w:line="174" w:lineRule="exact"/>
              <w:ind w:left="144"/>
              <w:textAlignment w:val="baseline"/>
              <w:rPr>
                <w:rFonts w:eastAsia="Arial"/>
                <w:color w:val="000000"/>
                <w:sz w:val="15"/>
              </w:rPr>
            </w:pPr>
            <w:r w:rsidRPr="00FC4067">
              <w:rPr>
                <w:rFonts w:eastAsia="Arial"/>
                <w:color w:val="000000"/>
                <w:sz w:val="15"/>
              </w:rPr>
              <w:t>ARRs — section 15.2</w:t>
            </w:r>
          </w:p>
        </w:tc>
        <w:tc>
          <w:tcPr>
            <w:tcW w:w="1226" w:type="dxa"/>
            <w:tcBorders>
              <w:top w:val="single" w:sz="4" w:space="0" w:color="000000"/>
              <w:left w:val="single" w:sz="4" w:space="0" w:color="000000"/>
              <w:bottom w:val="single" w:sz="4" w:space="0" w:color="000000"/>
              <w:right w:val="none" w:sz="0" w:space="0" w:color="020000"/>
            </w:tcBorders>
          </w:tcPr>
          <w:p w14:paraId="771C7E59"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24C6B409" w14:textId="77777777" w:rsidTr="00040E2E">
        <w:trPr>
          <w:trHeight w:hRule="exact" w:val="389"/>
        </w:trPr>
        <w:tc>
          <w:tcPr>
            <w:tcW w:w="1515" w:type="dxa"/>
            <w:vMerge w:val="restart"/>
            <w:tcBorders>
              <w:top w:val="single" w:sz="4" w:space="0" w:color="000000"/>
              <w:left w:val="none" w:sz="0" w:space="0" w:color="020000"/>
              <w:bottom w:val="single" w:sz="0" w:space="0" w:color="000000"/>
              <w:right w:val="single" w:sz="4" w:space="0" w:color="000000"/>
            </w:tcBorders>
          </w:tcPr>
          <w:p w14:paraId="6D4BAEC8" w14:textId="77777777" w:rsidR="00541191" w:rsidRPr="00FC4067" w:rsidRDefault="00541191" w:rsidP="00040E2E">
            <w:pPr>
              <w:spacing w:before="99" w:after="1272" w:line="174" w:lineRule="exact"/>
              <w:ind w:left="132"/>
              <w:textAlignment w:val="baseline"/>
              <w:rPr>
                <w:rFonts w:eastAsia="Arial"/>
                <w:color w:val="000000"/>
                <w:sz w:val="15"/>
              </w:rPr>
            </w:pPr>
            <w:r w:rsidRPr="00FC4067">
              <w:rPr>
                <w:rFonts w:eastAsia="Arial"/>
                <w:color w:val="000000"/>
                <w:sz w:val="15"/>
              </w:rPr>
              <w:t>Open Data</w:t>
            </w:r>
          </w:p>
        </w:tc>
        <w:tc>
          <w:tcPr>
            <w:tcW w:w="4075" w:type="dxa"/>
            <w:tcBorders>
              <w:top w:val="single" w:sz="4" w:space="0" w:color="000000"/>
              <w:left w:val="single" w:sz="4" w:space="0" w:color="000000"/>
              <w:bottom w:val="single" w:sz="4" w:space="0" w:color="000000"/>
              <w:right w:val="single" w:sz="4" w:space="0" w:color="000000"/>
            </w:tcBorders>
            <w:vAlign w:val="center"/>
          </w:tcPr>
          <w:p w14:paraId="0B7D2259" w14:textId="77777777" w:rsidR="00541191" w:rsidRPr="00FC4067" w:rsidRDefault="00541191" w:rsidP="00DC4782">
            <w:pPr>
              <w:numPr>
                <w:ilvl w:val="0"/>
                <w:numId w:val="18"/>
              </w:numPr>
              <w:tabs>
                <w:tab w:val="clear" w:pos="288"/>
                <w:tab w:val="left" w:pos="360"/>
              </w:tabs>
              <w:spacing w:before="100" w:after="90" w:line="189" w:lineRule="exact"/>
              <w:ind w:left="72"/>
              <w:textAlignment w:val="baseline"/>
              <w:rPr>
                <w:rFonts w:eastAsia="Arial"/>
                <w:color w:val="000000"/>
                <w:sz w:val="15"/>
              </w:rPr>
            </w:pPr>
            <w:r w:rsidRPr="00FC4067">
              <w:rPr>
                <w:rFonts w:eastAsia="Arial"/>
                <w:color w:val="000000"/>
                <w:sz w:val="15"/>
              </w:rPr>
              <w:t>Statement advising publication of information</w:t>
            </w:r>
          </w:p>
        </w:tc>
        <w:tc>
          <w:tcPr>
            <w:tcW w:w="2424" w:type="dxa"/>
            <w:tcBorders>
              <w:top w:val="single" w:sz="4" w:space="0" w:color="000000"/>
              <w:left w:val="single" w:sz="4" w:space="0" w:color="000000"/>
              <w:bottom w:val="single" w:sz="4" w:space="0" w:color="000000"/>
              <w:right w:val="single" w:sz="4" w:space="0" w:color="000000"/>
            </w:tcBorders>
            <w:vAlign w:val="center"/>
          </w:tcPr>
          <w:p w14:paraId="5A9B7531" w14:textId="77777777" w:rsidR="00541191" w:rsidRPr="00FC4067" w:rsidRDefault="00541191" w:rsidP="00040E2E">
            <w:pPr>
              <w:spacing w:before="113" w:after="92" w:line="174" w:lineRule="exact"/>
              <w:ind w:left="91"/>
              <w:textAlignment w:val="baseline"/>
              <w:rPr>
                <w:rFonts w:eastAsia="Arial"/>
                <w:color w:val="000000"/>
                <w:sz w:val="15"/>
              </w:rPr>
            </w:pPr>
            <w:r w:rsidRPr="00FC4067">
              <w:rPr>
                <w:rFonts w:eastAsia="Arial"/>
                <w:color w:val="000000"/>
                <w:sz w:val="15"/>
              </w:rPr>
              <w:t>ARRs — section 16</w:t>
            </w:r>
          </w:p>
        </w:tc>
        <w:tc>
          <w:tcPr>
            <w:tcW w:w="1226" w:type="dxa"/>
            <w:tcBorders>
              <w:top w:val="single" w:sz="4" w:space="0" w:color="000000"/>
              <w:left w:val="single" w:sz="4" w:space="0" w:color="000000"/>
              <w:bottom w:val="single" w:sz="4" w:space="0" w:color="000000"/>
              <w:right w:val="none" w:sz="0" w:space="0" w:color="020000"/>
            </w:tcBorders>
          </w:tcPr>
          <w:p w14:paraId="18EBAFDF"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3F775E70" w14:textId="77777777" w:rsidTr="00040E2E">
        <w:trPr>
          <w:trHeight w:hRule="exact" w:val="389"/>
        </w:trPr>
        <w:tc>
          <w:tcPr>
            <w:tcW w:w="1515" w:type="dxa"/>
            <w:vMerge/>
            <w:tcBorders>
              <w:top w:val="single" w:sz="0" w:space="0" w:color="000000"/>
              <w:left w:val="none" w:sz="0" w:space="0" w:color="020000"/>
              <w:bottom w:val="single" w:sz="0" w:space="0" w:color="000000"/>
              <w:right w:val="single" w:sz="4" w:space="0" w:color="000000"/>
            </w:tcBorders>
          </w:tcPr>
          <w:p w14:paraId="75F595AF" w14:textId="77777777" w:rsidR="00541191" w:rsidRPr="00FC4067" w:rsidRDefault="00541191" w:rsidP="00040E2E"/>
        </w:tc>
        <w:tc>
          <w:tcPr>
            <w:tcW w:w="4075" w:type="dxa"/>
            <w:tcBorders>
              <w:top w:val="single" w:sz="4" w:space="0" w:color="000000"/>
              <w:left w:val="single" w:sz="4" w:space="0" w:color="000000"/>
              <w:bottom w:val="single" w:sz="4" w:space="0" w:color="000000"/>
              <w:right w:val="single" w:sz="4" w:space="0" w:color="000000"/>
            </w:tcBorders>
            <w:vAlign w:val="center"/>
          </w:tcPr>
          <w:p w14:paraId="697C414C" w14:textId="77777777" w:rsidR="00541191" w:rsidRPr="00FC4067" w:rsidRDefault="00541191" w:rsidP="00DC4782">
            <w:pPr>
              <w:numPr>
                <w:ilvl w:val="0"/>
                <w:numId w:val="18"/>
              </w:numPr>
              <w:tabs>
                <w:tab w:val="clear" w:pos="288"/>
                <w:tab w:val="left" w:pos="360"/>
              </w:tabs>
              <w:spacing w:before="97" w:after="93" w:line="189" w:lineRule="exact"/>
              <w:ind w:left="72"/>
              <w:textAlignment w:val="baseline"/>
              <w:rPr>
                <w:rFonts w:eastAsia="Arial"/>
                <w:color w:val="000000"/>
                <w:sz w:val="15"/>
              </w:rPr>
            </w:pPr>
            <w:r w:rsidRPr="00FC4067">
              <w:rPr>
                <w:rFonts w:eastAsia="Arial"/>
                <w:color w:val="000000"/>
                <w:sz w:val="15"/>
              </w:rPr>
              <w:t>Consultancies</w:t>
            </w:r>
          </w:p>
        </w:tc>
        <w:tc>
          <w:tcPr>
            <w:tcW w:w="2424" w:type="dxa"/>
            <w:tcBorders>
              <w:top w:val="single" w:sz="4" w:space="0" w:color="000000"/>
              <w:left w:val="single" w:sz="4" w:space="0" w:color="000000"/>
              <w:bottom w:val="single" w:sz="4" w:space="0" w:color="000000"/>
              <w:right w:val="single" w:sz="4" w:space="0" w:color="000000"/>
            </w:tcBorders>
            <w:vAlign w:val="center"/>
          </w:tcPr>
          <w:p w14:paraId="5EE20202" w14:textId="77777777" w:rsidR="00541191" w:rsidRPr="00FC4067" w:rsidRDefault="00541191" w:rsidP="00040E2E">
            <w:pPr>
              <w:spacing w:before="108" w:after="97" w:line="174" w:lineRule="exact"/>
              <w:ind w:left="91"/>
              <w:textAlignment w:val="baseline"/>
              <w:rPr>
                <w:rFonts w:eastAsia="Arial"/>
                <w:color w:val="000000"/>
                <w:sz w:val="15"/>
              </w:rPr>
            </w:pPr>
            <w:r w:rsidRPr="00FC4067">
              <w:rPr>
                <w:rFonts w:eastAsia="Arial"/>
                <w:color w:val="000000"/>
                <w:sz w:val="15"/>
              </w:rPr>
              <w:t>ARRs — section 33.1</w:t>
            </w:r>
          </w:p>
        </w:tc>
        <w:tc>
          <w:tcPr>
            <w:tcW w:w="1226" w:type="dxa"/>
            <w:tcBorders>
              <w:top w:val="single" w:sz="4" w:space="0" w:color="000000"/>
              <w:left w:val="single" w:sz="4" w:space="0" w:color="000000"/>
              <w:bottom w:val="single" w:sz="4" w:space="0" w:color="000000"/>
              <w:right w:val="none" w:sz="0" w:space="0" w:color="020000"/>
            </w:tcBorders>
          </w:tcPr>
          <w:p w14:paraId="1F73FB2B"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49BAFCFB" w14:textId="77777777" w:rsidTr="00040E2E">
        <w:trPr>
          <w:trHeight w:hRule="exact" w:val="393"/>
        </w:trPr>
        <w:tc>
          <w:tcPr>
            <w:tcW w:w="1515" w:type="dxa"/>
            <w:vMerge/>
            <w:tcBorders>
              <w:top w:val="single" w:sz="0" w:space="0" w:color="000000"/>
              <w:left w:val="none" w:sz="0" w:space="0" w:color="020000"/>
              <w:bottom w:val="single" w:sz="0" w:space="0" w:color="000000"/>
              <w:right w:val="single" w:sz="4" w:space="0" w:color="000000"/>
            </w:tcBorders>
          </w:tcPr>
          <w:p w14:paraId="616EC2E8" w14:textId="77777777" w:rsidR="00541191" w:rsidRPr="00FC4067" w:rsidRDefault="00541191" w:rsidP="00040E2E"/>
        </w:tc>
        <w:tc>
          <w:tcPr>
            <w:tcW w:w="4075" w:type="dxa"/>
            <w:tcBorders>
              <w:top w:val="single" w:sz="4" w:space="0" w:color="000000"/>
              <w:left w:val="single" w:sz="4" w:space="0" w:color="000000"/>
              <w:bottom w:val="single" w:sz="4" w:space="0" w:color="000000"/>
              <w:right w:val="single" w:sz="4" w:space="0" w:color="000000"/>
            </w:tcBorders>
            <w:vAlign w:val="center"/>
          </w:tcPr>
          <w:p w14:paraId="71381E69" w14:textId="77777777" w:rsidR="00541191" w:rsidRPr="00FC4067" w:rsidRDefault="00541191" w:rsidP="00DC4782">
            <w:pPr>
              <w:numPr>
                <w:ilvl w:val="0"/>
                <w:numId w:val="18"/>
              </w:numPr>
              <w:tabs>
                <w:tab w:val="clear" w:pos="288"/>
                <w:tab w:val="left" w:pos="360"/>
              </w:tabs>
              <w:spacing w:before="99" w:after="90" w:line="189" w:lineRule="exact"/>
              <w:ind w:left="72"/>
              <w:textAlignment w:val="baseline"/>
              <w:rPr>
                <w:rFonts w:eastAsia="Arial"/>
                <w:color w:val="000000"/>
                <w:sz w:val="15"/>
              </w:rPr>
            </w:pPr>
            <w:r w:rsidRPr="00FC4067">
              <w:rPr>
                <w:rFonts w:eastAsia="Arial"/>
                <w:color w:val="000000"/>
                <w:sz w:val="15"/>
              </w:rPr>
              <w:t>Overseas travel</w:t>
            </w:r>
          </w:p>
        </w:tc>
        <w:tc>
          <w:tcPr>
            <w:tcW w:w="2424" w:type="dxa"/>
            <w:tcBorders>
              <w:top w:val="single" w:sz="4" w:space="0" w:color="000000"/>
              <w:left w:val="single" w:sz="4" w:space="0" w:color="000000"/>
              <w:bottom w:val="single" w:sz="4" w:space="0" w:color="000000"/>
              <w:right w:val="single" w:sz="4" w:space="0" w:color="000000"/>
            </w:tcBorders>
            <w:vAlign w:val="center"/>
          </w:tcPr>
          <w:p w14:paraId="10F3A413" w14:textId="77777777" w:rsidR="00541191" w:rsidRPr="00FC4067" w:rsidRDefault="00541191" w:rsidP="00040E2E">
            <w:pPr>
              <w:spacing w:before="112" w:after="92" w:line="174" w:lineRule="exact"/>
              <w:ind w:left="91"/>
              <w:textAlignment w:val="baseline"/>
              <w:rPr>
                <w:rFonts w:eastAsia="Arial"/>
                <w:color w:val="000000"/>
                <w:sz w:val="15"/>
              </w:rPr>
            </w:pPr>
            <w:r w:rsidRPr="00FC4067">
              <w:rPr>
                <w:rFonts w:eastAsia="Arial"/>
                <w:color w:val="000000"/>
                <w:sz w:val="15"/>
              </w:rPr>
              <w:t>ARRs — section 33.2</w:t>
            </w:r>
          </w:p>
        </w:tc>
        <w:tc>
          <w:tcPr>
            <w:tcW w:w="1226" w:type="dxa"/>
            <w:tcBorders>
              <w:top w:val="single" w:sz="4" w:space="0" w:color="000000"/>
              <w:left w:val="single" w:sz="4" w:space="0" w:color="000000"/>
              <w:bottom w:val="single" w:sz="4" w:space="0" w:color="000000"/>
              <w:right w:val="none" w:sz="0" w:space="0" w:color="020000"/>
            </w:tcBorders>
          </w:tcPr>
          <w:p w14:paraId="6DEA1F2D"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1C5C8DDC" w14:textId="77777777" w:rsidTr="00040E2E">
        <w:trPr>
          <w:trHeight w:hRule="exact" w:val="384"/>
        </w:trPr>
        <w:tc>
          <w:tcPr>
            <w:tcW w:w="1515" w:type="dxa"/>
            <w:vMerge/>
            <w:tcBorders>
              <w:top w:val="single" w:sz="0" w:space="0" w:color="000000"/>
              <w:left w:val="none" w:sz="0" w:space="0" w:color="020000"/>
              <w:bottom w:val="single" w:sz="4" w:space="0" w:color="000000"/>
              <w:right w:val="single" w:sz="4" w:space="0" w:color="000000"/>
            </w:tcBorders>
          </w:tcPr>
          <w:p w14:paraId="2587F7EF" w14:textId="77777777" w:rsidR="00541191" w:rsidRPr="00FC4067" w:rsidRDefault="00541191" w:rsidP="00040E2E"/>
        </w:tc>
        <w:tc>
          <w:tcPr>
            <w:tcW w:w="4075" w:type="dxa"/>
            <w:tcBorders>
              <w:top w:val="single" w:sz="4" w:space="0" w:color="000000"/>
              <w:left w:val="single" w:sz="4" w:space="0" w:color="000000"/>
              <w:bottom w:val="single" w:sz="4" w:space="0" w:color="000000"/>
              <w:right w:val="single" w:sz="4" w:space="0" w:color="000000"/>
            </w:tcBorders>
            <w:vAlign w:val="center"/>
          </w:tcPr>
          <w:p w14:paraId="6C3F61FD" w14:textId="77777777" w:rsidR="00541191" w:rsidRPr="00FC4067" w:rsidRDefault="00541191" w:rsidP="00DC4782">
            <w:pPr>
              <w:numPr>
                <w:ilvl w:val="0"/>
                <w:numId w:val="18"/>
              </w:numPr>
              <w:tabs>
                <w:tab w:val="clear" w:pos="288"/>
                <w:tab w:val="left" w:pos="360"/>
              </w:tabs>
              <w:spacing w:before="98" w:after="87" w:line="189" w:lineRule="exact"/>
              <w:ind w:left="72"/>
              <w:textAlignment w:val="baseline"/>
              <w:rPr>
                <w:rFonts w:eastAsia="Arial"/>
                <w:color w:val="000000"/>
                <w:sz w:val="15"/>
              </w:rPr>
            </w:pPr>
            <w:r w:rsidRPr="00FC4067">
              <w:rPr>
                <w:rFonts w:eastAsia="Arial"/>
                <w:color w:val="000000"/>
                <w:sz w:val="15"/>
              </w:rPr>
              <w:t>Queensland Language Services Policy</w:t>
            </w:r>
          </w:p>
        </w:tc>
        <w:tc>
          <w:tcPr>
            <w:tcW w:w="2424" w:type="dxa"/>
            <w:tcBorders>
              <w:top w:val="single" w:sz="4" w:space="0" w:color="000000"/>
              <w:left w:val="single" w:sz="4" w:space="0" w:color="000000"/>
              <w:bottom w:val="single" w:sz="4" w:space="0" w:color="000000"/>
              <w:right w:val="single" w:sz="4" w:space="0" w:color="000000"/>
            </w:tcBorders>
            <w:vAlign w:val="center"/>
          </w:tcPr>
          <w:p w14:paraId="569F22C4" w14:textId="77777777" w:rsidR="00541191" w:rsidRPr="00FC4067" w:rsidRDefault="00541191" w:rsidP="00040E2E">
            <w:pPr>
              <w:spacing w:before="108" w:after="92" w:line="174" w:lineRule="exact"/>
              <w:ind w:left="91"/>
              <w:textAlignment w:val="baseline"/>
              <w:rPr>
                <w:rFonts w:eastAsia="Arial"/>
                <w:color w:val="000000"/>
                <w:sz w:val="15"/>
              </w:rPr>
            </w:pPr>
            <w:r w:rsidRPr="00FC4067">
              <w:rPr>
                <w:rFonts w:eastAsia="Arial"/>
                <w:color w:val="000000"/>
                <w:sz w:val="15"/>
              </w:rPr>
              <w:t>ARRs — section 33.3</w:t>
            </w:r>
          </w:p>
        </w:tc>
        <w:tc>
          <w:tcPr>
            <w:tcW w:w="1226" w:type="dxa"/>
            <w:tcBorders>
              <w:top w:val="single" w:sz="4" w:space="0" w:color="000000"/>
              <w:left w:val="single" w:sz="4" w:space="0" w:color="000000"/>
              <w:bottom w:val="single" w:sz="4" w:space="0" w:color="000000"/>
              <w:right w:val="none" w:sz="0" w:space="0" w:color="020000"/>
            </w:tcBorders>
          </w:tcPr>
          <w:p w14:paraId="32059CC9"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6C550445" w14:textId="77777777" w:rsidTr="00040E2E">
        <w:trPr>
          <w:trHeight w:hRule="exact" w:val="922"/>
        </w:trPr>
        <w:tc>
          <w:tcPr>
            <w:tcW w:w="1515" w:type="dxa"/>
            <w:vMerge w:val="restart"/>
            <w:tcBorders>
              <w:top w:val="single" w:sz="4" w:space="0" w:color="000000"/>
              <w:left w:val="none" w:sz="0" w:space="0" w:color="020000"/>
              <w:bottom w:val="single" w:sz="0" w:space="0" w:color="000000"/>
              <w:right w:val="single" w:sz="4" w:space="0" w:color="000000"/>
            </w:tcBorders>
          </w:tcPr>
          <w:p w14:paraId="25BAE54C" w14:textId="77777777" w:rsidR="00541191" w:rsidRPr="00FC4067" w:rsidRDefault="00541191" w:rsidP="00040E2E">
            <w:pPr>
              <w:spacing w:before="93" w:after="1397" w:line="179" w:lineRule="exact"/>
              <w:ind w:left="108"/>
              <w:textAlignment w:val="baseline"/>
              <w:rPr>
                <w:rFonts w:eastAsia="Arial"/>
                <w:color w:val="000000"/>
                <w:spacing w:val="7"/>
                <w:sz w:val="15"/>
              </w:rPr>
            </w:pPr>
            <w:r w:rsidRPr="00FC4067">
              <w:rPr>
                <w:rFonts w:eastAsia="Arial"/>
                <w:color w:val="000000"/>
                <w:spacing w:val="7"/>
                <w:sz w:val="15"/>
              </w:rPr>
              <w:t>Financial statements</w:t>
            </w:r>
          </w:p>
        </w:tc>
        <w:tc>
          <w:tcPr>
            <w:tcW w:w="4075" w:type="dxa"/>
            <w:tcBorders>
              <w:top w:val="single" w:sz="4" w:space="0" w:color="000000"/>
              <w:left w:val="single" w:sz="4" w:space="0" w:color="000000"/>
              <w:bottom w:val="single" w:sz="4" w:space="0" w:color="000000"/>
              <w:right w:val="single" w:sz="4" w:space="0" w:color="000000"/>
            </w:tcBorders>
          </w:tcPr>
          <w:p w14:paraId="0DFB6D2E" w14:textId="77777777" w:rsidR="00541191" w:rsidRPr="00FC4067" w:rsidRDefault="00541191" w:rsidP="00DC4782">
            <w:pPr>
              <w:numPr>
                <w:ilvl w:val="0"/>
                <w:numId w:val="18"/>
              </w:numPr>
              <w:tabs>
                <w:tab w:val="clear" w:pos="288"/>
                <w:tab w:val="left" w:pos="360"/>
              </w:tabs>
              <w:spacing w:before="99" w:after="624" w:line="189" w:lineRule="exact"/>
              <w:ind w:left="72"/>
              <w:textAlignment w:val="baseline"/>
              <w:rPr>
                <w:rFonts w:eastAsia="Arial"/>
                <w:color w:val="000000"/>
                <w:sz w:val="15"/>
              </w:rPr>
            </w:pPr>
            <w:r w:rsidRPr="00FC4067">
              <w:rPr>
                <w:rFonts w:eastAsia="Arial"/>
                <w:color w:val="000000"/>
                <w:sz w:val="15"/>
              </w:rPr>
              <w:t>Certification of financial statements</w:t>
            </w:r>
          </w:p>
        </w:tc>
        <w:tc>
          <w:tcPr>
            <w:tcW w:w="2424" w:type="dxa"/>
            <w:tcBorders>
              <w:top w:val="single" w:sz="4" w:space="0" w:color="000000"/>
              <w:left w:val="single" w:sz="4" w:space="0" w:color="000000"/>
              <w:bottom w:val="single" w:sz="4" w:space="0" w:color="000000"/>
              <w:right w:val="single" w:sz="4" w:space="0" w:color="000000"/>
            </w:tcBorders>
          </w:tcPr>
          <w:p w14:paraId="019825A7" w14:textId="77777777" w:rsidR="00541191" w:rsidRPr="00FC4067" w:rsidRDefault="00541191" w:rsidP="00040E2E">
            <w:pPr>
              <w:spacing w:before="108" w:line="174" w:lineRule="exact"/>
              <w:ind w:left="72"/>
              <w:textAlignment w:val="baseline"/>
              <w:rPr>
                <w:rFonts w:eastAsia="Arial"/>
                <w:color w:val="000000"/>
                <w:sz w:val="15"/>
              </w:rPr>
            </w:pPr>
            <w:r w:rsidRPr="00FC4067">
              <w:rPr>
                <w:rFonts w:eastAsia="Arial"/>
                <w:color w:val="000000"/>
                <w:sz w:val="15"/>
              </w:rPr>
              <w:t>FAA — section 62</w:t>
            </w:r>
          </w:p>
          <w:p w14:paraId="44E92407" w14:textId="77777777" w:rsidR="00541191" w:rsidRPr="00FC4067" w:rsidRDefault="00541191" w:rsidP="00040E2E">
            <w:pPr>
              <w:spacing w:before="100" w:line="174" w:lineRule="exact"/>
              <w:ind w:left="72"/>
              <w:textAlignment w:val="baseline"/>
              <w:rPr>
                <w:rFonts w:eastAsia="Arial"/>
                <w:color w:val="000000"/>
                <w:sz w:val="15"/>
              </w:rPr>
            </w:pPr>
            <w:r w:rsidRPr="00FC4067">
              <w:rPr>
                <w:rFonts w:eastAsia="Arial"/>
                <w:color w:val="000000"/>
                <w:sz w:val="15"/>
              </w:rPr>
              <w:t>FPMS — sections 42, 43 and 50</w:t>
            </w:r>
          </w:p>
          <w:p w14:paraId="3F17E867" w14:textId="77777777" w:rsidR="00541191" w:rsidRPr="00FC4067" w:rsidRDefault="00541191" w:rsidP="00040E2E">
            <w:pPr>
              <w:spacing w:before="104" w:after="78" w:line="174" w:lineRule="exact"/>
              <w:ind w:left="72"/>
              <w:textAlignment w:val="baseline"/>
              <w:rPr>
                <w:rFonts w:eastAsia="Arial"/>
                <w:color w:val="000000"/>
                <w:sz w:val="15"/>
              </w:rPr>
            </w:pPr>
            <w:r w:rsidRPr="00FC4067">
              <w:rPr>
                <w:rFonts w:eastAsia="Arial"/>
                <w:color w:val="000000"/>
                <w:sz w:val="15"/>
              </w:rPr>
              <w:t>ARRs — section 17.1</w:t>
            </w:r>
          </w:p>
        </w:tc>
        <w:tc>
          <w:tcPr>
            <w:tcW w:w="1226" w:type="dxa"/>
            <w:tcBorders>
              <w:top w:val="single" w:sz="4" w:space="0" w:color="000000"/>
              <w:left w:val="single" w:sz="4" w:space="0" w:color="000000"/>
              <w:bottom w:val="single" w:sz="4" w:space="0" w:color="000000"/>
              <w:right w:val="none" w:sz="0" w:space="0" w:color="020000"/>
            </w:tcBorders>
          </w:tcPr>
          <w:p w14:paraId="133B7DC7"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r w:rsidR="00541191" w:rsidRPr="00FC4067" w14:paraId="042CFFBD" w14:textId="77777777" w:rsidTr="00040E2E">
        <w:trPr>
          <w:trHeight w:hRule="exact" w:val="936"/>
        </w:trPr>
        <w:tc>
          <w:tcPr>
            <w:tcW w:w="1515" w:type="dxa"/>
            <w:vMerge/>
            <w:tcBorders>
              <w:top w:val="single" w:sz="0" w:space="0" w:color="000000"/>
              <w:left w:val="none" w:sz="0" w:space="0" w:color="020000"/>
              <w:bottom w:val="single" w:sz="4" w:space="0" w:color="000000"/>
              <w:right w:val="single" w:sz="4" w:space="0" w:color="000000"/>
            </w:tcBorders>
          </w:tcPr>
          <w:p w14:paraId="1491C820" w14:textId="77777777" w:rsidR="00541191" w:rsidRPr="00FC4067" w:rsidRDefault="00541191" w:rsidP="00040E2E"/>
        </w:tc>
        <w:tc>
          <w:tcPr>
            <w:tcW w:w="4075" w:type="dxa"/>
            <w:tcBorders>
              <w:top w:val="single" w:sz="4" w:space="0" w:color="000000"/>
              <w:left w:val="single" w:sz="4" w:space="0" w:color="000000"/>
              <w:bottom w:val="single" w:sz="4" w:space="0" w:color="000000"/>
              <w:right w:val="single" w:sz="4" w:space="0" w:color="000000"/>
            </w:tcBorders>
          </w:tcPr>
          <w:p w14:paraId="37B72D3F" w14:textId="77777777" w:rsidR="00541191" w:rsidRPr="00FC4067" w:rsidRDefault="00541191" w:rsidP="00DC4782">
            <w:pPr>
              <w:numPr>
                <w:ilvl w:val="0"/>
                <w:numId w:val="18"/>
              </w:numPr>
              <w:tabs>
                <w:tab w:val="clear" w:pos="288"/>
                <w:tab w:val="left" w:pos="360"/>
              </w:tabs>
              <w:spacing w:before="102" w:after="635" w:line="189" w:lineRule="exact"/>
              <w:ind w:left="72"/>
              <w:textAlignment w:val="baseline"/>
              <w:rPr>
                <w:rFonts w:eastAsia="Arial"/>
                <w:color w:val="000000"/>
                <w:sz w:val="15"/>
              </w:rPr>
            </w:pPr>
            <w:r w:rsidRPr="00FC4067">
              <w:rPr>
                <w:rFonts w:eastAsia="Arial"/>
                <w:color w:val="000000"/>
                <w:sz w:val="15"/>
              </w:rPr>
              <w:t>Independent Auditor's Report</w:t>
            </w:r>
          </w:p>
        </w:tc>
        <w:tc>
          <w:tcPr>
            <w:tcW w:w="2424" w:type="dxa"/>
            <w:tcBorders>
              <w:top w:val="single" w:sz="4" w:space="0" w:color="000000"/>
              <w:left w:val="single" w:sz="4" w:space="0" w:color="000000"/>
              <w:bottom w:val="single" w:sz="4" w:space="0" w:color="000000"/>
              <w:right w:val="single" w:sz="4" w:space="0" w:color="000000"/>
            </w:tcBorders>
            <w:vAlign w:val="center"/>
          </w:tcPr>
          <w:p w14:paraId="094F9784" w14:textId="77777777" w:rsidR="00541191" w:rsidRPr="00FC4067" w:rsidRDefault="00541191" w:rsidP="00040E2E">
            <w:pPr>
              <w:spacing w:after="92" w:line="274" w:lineRule="exact"/>
              <w:ind w:left="72"/>
              <w:textAlignment w:val="baseline"/>
              <w:rPr>
                <w:rFonts w:eastAsia="Arial"/>
                <w:color w:val="000000"/>
                <w:sz w:val="15"/>
              </w:rPr>
            </w:pPr>
            <w:r w:rsidRPr="00FC4067">
              <w:rPr>
                <w:rFonts w:eastAsia="Arial"/>
                <w:color w:val="000000"/>
                <w:sz w:val="15"/>
              </w:rPr>
              <w:t xml:space="preserve">FAA — section 62 </w:t>
            </w:r>
            <w:r w:rsidRPr="00FC4067">
              <w:rPr>
                <w:rFonts w:eastAsia="Arial"/>
                <w:color w:val="000000"/>
                <w:sz w:val="15"/>
              </w:rPr>
              <w:br/>
              <w:t xml:space="preserve">FPMS — section 50 </w:t>
            </w:r>
            <w:r w:rsidRPr="00FC4067">
              <w:rPr>
                <w:rFonts w:eastAsia="Arial"/>
                <w:color w:val="000000"/>
                <w:sz w:val="15"/>
              </w:rPr>
              <w:br/>
              <w:t>ARRs — section 17.2</w:t>
            </w:r>
          </w:p>
        </w:tc>
        <w:tc>
          <w:tcPr>
            <w:tcW w:w="1226" w:type="dxa"/>
            <w:tcBorders>
              <w:top w:val="single" w:sz="4" w:space="0" w:color="000000"/>
              <w:left w:val="single" w:sz="4" w:space="0" w:color="000000"/>
              <w:bottom w:val="single" w:sz="4" w:space="0" w:color="000000"/>
              <w:right w:val="none" w:sz="0" w:space="0" w:color="020000"/>
            </w:tcBorders>
          </w:tcPr>
          <w:p w14:paraId="4D745D52" w14:textId="77777777" w:rsidR="00541191" w:rsidRPr="00FC4067" w:rsidRDefault="00541191" w:rsidP="00040E2E">
            <w:pPr>
              <w:textAlignment w:val="baseline"/>
              <w:rPr>
                <w:rFonts w:eastAsia="Arial"/>
                <w:color w:val="000000"/>
                <w:sz w:val="24"/>
              </w:rPr>
            </w:pPr>
            <w:r w:rsidRPr="00FC4067">
              <w:rPr>
                <w:rFonts w:eastAsia="Arial"/>
                <w:color w:val="000000"/>
                <w:sz w:val="24"/>
              </w:rPr>
              <w:t xml:space="preserve"> </w:t>
            </w:r>
          </w:p>
        </w:tc>
      </w:tr>
    </w:tbl>
    <w:p w14:paraId="4D5BAD2E" w14:textId="77777777" w:rsidR="00541191" w:rsidRPr="00FC4067" w:rsidRDefault="00541191" w:rsidP="00541191">
      <w:pPr>
        <w:spacing w:after="89" w:line="20" w:lineRule="exact"/>
      </w:pPr>
    </w:p>
    <w:p w14:paraId="510FAE67" w14:textId="77777777" w:rsidR="00541191" w:rsidRPr="00FC4067" w:rsidRDefault="00541191" w:rsidP="00541191">
      <w:pPr>
        <w:tabs>
          <w:tab w:val="left" w:pos="648"/>
        </w:tabs>
        <w:spacing w:line="176" w:lineRule="exact"/>
        <w:textAlignment w:val="baseline"/>
        <w:rPr>
          <w:rFonts w:eastAsia="Arial"/>
          <w:color w:val="000000"/>
          <w:spacing w:val="1"/>
          <w:sz w:val="15"/>
        </w:rPr>
      </w:pPr>
      <w:r w:rsidRPr="00FC4067">
        <w:rPr>
          <w:rFonts w:eastAsia="Arial"/>
          <w:color w:val="000000"/>
          <w:spacing w:val="1"/>
          <w:sz w:val="15"/>
        </w:rPr>
        <w:t>FAA</w:t>
      </w:r>
      <w:r w:rsidRPr="00FC4067">
        <w:rPr>
          <w:rFonts w:eastAsia="Arial"/>
          <w:color w:val="000000"/>
          <w:spacing w:val="1"/>
          <w:sz w:val="15"/>
        </w:rPr>
        <w:tab/>
      </w:r>
      <w:r w:rsidRPr="00FC4067">
        <w:rPr>
          <w:rFonts w:eastAsia="Arial"/>
          <w:i/>
          <w:color w:val="000000"/>
          <w:spacing w:val="1"/>
          <w:sz w:val="15"/>
        </w:rPr>
        <w:t>Financial Accountability Act 2009</w:t>
      </w:r>
    </w:p>
    <w:p w14:paraId="61A28673" w14:textId="77777777" w:rsidR="00541191" w:rsidRPr="00FC4067" w:rsidRDefault="00541191" w:rsidP="00541191">
      <w:pPr>
        <w:spacing w:before="119" w:line="176" w:lineRule="exact"/>
        <w:textAlignment w:val="baseline"/>
        <w:rPr>
          <w:rFonts w:eastAsia="Arial"/>
          <w:color w:val="000000"/>
          <w:spacing w:val="5"/>
          <w:sz w:val="15"/>
        </w:rPr>
      </w:pPr>
      <w:r w:rsidRPr="00FC4067">
        <w:rPr>
          <w:rFonts w:eastAsia="Arial"/>
          <w:color w:val="000000"/>
          <w:spacing w:val="5"/>
          <w:sz w:val="15"/>
        </w:rPr>
        <w:t xml:space="preserve">FPMS </w:t>
      </w:r>
      <w:r w:rsidRPr="00FC4067">
        <w:rPr>
          <w:rFonts w:eastAsia="Arial"/>
          <w:i/>
          <w:color w:val="000000"/>
          <w:spacing w:val="5"/>
          <w:sz w:val="15"/>
        </w:rPr>
        <w:t>Financial and Performance Management Standard 2009</w:t>
      </w:r>
    </w:p>
    <w:p w14:paraId="3CBA7526" w14:textId="5A33C71B" w:rsidR="00676BCA" w:rsidRPr="00541191" w:rsidRDefault="00541191" w:rsidP="00FC4067">
      <w:pPr>
        <w:shd w:val="clear" w:color="auto" w:fill="FFFFFF" w:themeFill="background1"/>
        <w:tabs>
          <w:tab w:val="left" w:pos="648"/>
        </w:tabs>
        <w:spacing w:before="114" w:after="5773" w:line="176" w:lineRule="exact"/>
        <w:textAlignment w:val="baseline"/>
        <w:rPr>
          <w:rFonts w:eastAsia="Arial"/>
          <w:color w:val="000000"/>
          <w:spacing w:val="1"/>
          <w:sz w:val="15"/>
        </w:rPr>
      </w:pPr>
      <w:r w:rsidRPr="00FC4067">
        <w:rPr>
          <w:rFonts w:eastAsia="Arial"/>
          <w:color w:val="000000"/>
          <w:spacing w:val="1"/>
          <w:sz w:val="15"/>
        </w:rPr>
        <w:t>ARRs</w:t>
      </w:r>
      <w:r w:rsidRPr="00FC4067">
        <w:rPr>
          <w:rFonts w:eastAsia="Arial"/>
          <w:color w:val="000000"/>
          <w:spacing w:val="1"/>
          <w:sz w:val="15"/>
        </w:rPr>
        <w:tab/>
      </w:r>
      <w:r w:rsidRPr="00FC4067">
        <w:rPr>
          <w:rFonts w:eastAsia="Arial"/>
          <w:i/>
          <w:color w:val="000000"/>
          <w:spacing w:val="1"/>
          <w:sz w:val="15"/>
        </w:rPr>
        <w:t>Annual report requirements for Queensland Government agencies</w:t>
      </w:r>
    </w:p>
    <w:sectPr w:rsidR="00676BCA" w:rsidRPr="00541191" w:rsidSect="00541191">
      <w:pgSz w:w="11906" w:h="16838"/>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ABF6" w14:textId="77777777" w:rsidR="00455FE3" w:rsidRDefault="00455FE3" w:rsidP="00CF0A4C">
      <w:r>
        <w:separator/>
      </w:r>
    </w:p>
  </w:endnote>
  <w:endnote w:type="continuationSeparator" w:id="0">
    <w:p w14:paraId="501C72A6" w14:textId="77777777" w:rsidR="00455FE3" w:rsidRDefault="00455FE3" w:rsidP="00CF0A4C">
      <w:r>
        <w:continuationSeparator/>
      </w:r>
    </w:p>
  </w:endnote>
  <w:endnote w:type="continuationNotice" w:id="1">
    <w:p w14:paraId="04A91F37" w14:textId="77777777" w:rsidR="00455FE3" w:rsidRDefault="00455FE3" w:rsidP="00CF0A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ORJRU T+ Meta Normal LF">
    <w:altName w:val="Cambria"/>
    <w:panose1 w:val="00000000000000000000"/>
    <w:charset w:val="00"/>
    <w:family w:val="roman"/>
    <w:notTrueType/>
    <w:pitch w:val="default"/>
    <w:sig w:usb0="00000003" w:usb1="00000000" w:usb2="00000000" w:usb3="00000000" w:csb0="00000001" w:csb1="00000000"/>
  </w:font>
  <w:font w:name="MetaNormalLF-Roman">
    <w:altName w:val="Calibri"/>
    <w:charset w:val="00"/>
    <w:family w:val="swiss"/>
    <w:pitch w:val="variable"/>
    <w:sig w:usb0="8000002F" w:usb1="4000004A" w:usb2="00000000" w:usb3="00000000" w:csb0="00000001" w:csb1="00000000"/>
  </w:font>
  <w:font w:name="MetaBoldLF-Roman">
    <w:altName w:val="Segoe UI Semibold"/>
    <w:charset w:val="00"/>
    <w:family w:val="swiss"/>
    <w:pitch w:val="variable"/>
    <w:sig w:usb0="00000003" w:usb1="00000000" w:usb2="00000000" w:usb3="00000000" w:csb0="00000001" w:csb1="00000000"/>
  </w:font>
  <w:font w:name="MetaNormalLF-Italic">
    <w:charset w:val="00"/>
    <w:family w:val="swiss"/>
    <w:pitch w:val="variable"/>
    <w:sig w:usb0="8000002F" w:usb1="4000004A" w:usb2="00000000" w:usb3="00000000" w:csb0="00000001" w:csb1="00000000"/>
  </w:font>
  <w:font w:name="MetaBold-Roman">
    <w:altName w:val="Calibri"/>
    <w:charset w:val="00"/>
    <w:family w:val="swiss"/>
    <w:pitch w:val="variable"/>
    <w:sig w:usb0="80000027"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GJPSX J+ Meta Normal LF">
    <w:altName w:val="Cambria"/>
    <w:panose1 w:val="00000000000000000000"/>
    <w:charset w:val="00"/>
    <w:family w:val="roman"/>
    <w:notTrueType/>
    <w:pitch w:val="default"/>
    <w:sig w:usb0="00000003" w:usb1="00000000" w:usb2="00000000" w:usb3="00000000" w:csb0="00000001" w:csb1="00000000"/>
  </w:font>
  <w:font w:name="MetaNormal-Roma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60712080"/>
      <w:docPartObj>
        <w:docPartGallery w:val="Page Numbers (Bottom of Page)"/>
        <w:docPartUnique/>
      </w:docPartObj>
    </w:sdtPr>
    <w:sdtContent>
      <w:sdt>
        <w:sdtPr>
          <w:rPr>
            <w:sz w:val="16"/>
            <w:szCs w:val="16"/>
          </w:rPr>
          <w:id w:val="375967446"/>
          <w:docPartObj>
            <w:docPartGallery w:val="Page Numbers (Top of Page)"/>
            <w:docPartUnique/>
          </w:docPartObj>
        </w:sdtPr>
        <w:sdtContent>
          <w:p w14:paraId="2F7ABD04" w14:textId="7D41B8F3" w:rsidR="00455FE3" w:rsidRPr="00AF428A" w:rsidRDefault="00455FE3" w:rsidP="00CF0A4C">
            <w:pPr>
              <w:pStyle w:val="Footer"/>
              <w:rPr>
                <w:sz w:val="16"/>
                <w:szCs w:val="16"/>
              </w:rPr>
            </w:pPr>
            <w:r w:rsidRPr="001A0FEB">
              <w:rPr>
                <w:sz w:val="16"/>
                <w:szCs w:val="16"/>
              </w:rPr>
              <w:tab/>
            </w:r>
            <w:r w:rsidRPr="001A0FEB">
              <w:rPr>
                <w:iCs/>
                <w:noProof/>
                <w:sz w:val="16"/>
                <w:szCs w:val="16"/>
              </w:rPr>
              <w:fldChar w:fldCharType="begin"/>
            </w:r>
            <w:r w:rsidRPr="001A0FEB">
              <w:rPr>
                <w:bCs/>
                <w:sz w:val="16"/>
                <w:szCs w:val="16"/>
              </w:rPr>
              <w:instrText xml:space="preserve"> PAGE </w:instrText>
            </w:r>
            <w:r w:rsidRPr="001A0FEB">
              <w:rPr>
                <w:bCs/>
                <w:sz w:val="16"/>
                <w:szCs w:val="16"/>
              </w:rPr>
              <w:fldChar w:fldCharType="separate"/>
            </w:r>
            <w:r w:rsidR="00B33288">
              <w:rPr>
                <w:bCs/>
                <w:noProof/>
                <w:sz w:val="16"/>
                <w:szCs w:val="16"/>
              </w:rPr>
              <w:t>21</w:t>
            </w:r>
            <w:r w:rsidRPr="001A0FEB">
              <w:rPr>
                <w:iCs/>
                <w:noProof/>
                <w:sz w:val="16"/>
                <w:szCs w:val="16"/>
              </w:rPr>
              <w:fldChar w:fldCharType="end"/>
            </w:r>
            <w:r w:rsidRPr="001A0FEB">
              <w:rPr>
                <w:iCs/>
                <w:sz w:val="16"/>
                <w:szCs w:val="16"/>
              </w:rPr>
              <w:t>/</w:t>
            </w:r>
            <w:r w:rsidRPr="001A0FEB">
              <w:rPr>
                <w:iCs/>
                <w:noProof/>
                <w:sz w:val="16"/>
                <w:szCs w:val="16"/>
              </w:rPr>
              <w:fldChar w:fldCharType="begin"/>
            </w:r>
            <w:r w:rsidRPr="001A0FEB">
              <w:rPr>
                <w:bCs/>
                <w:sz w:val="16"/>
                <w:szCs w:val="16"/>
              </w:rPr>
              <w:instrText xml:space="preserve"> NUMPAGES  </w:instrText>
            </w:r>
            <w:r w:rsidRPr="001A0FEB">
              <w:rPr>
                <w:bCs/>
                <w:sz w:val="16"/>
                <w:szCs w:val="16"/>
              </w:rPr>
              <w:fldChar w:fldCharType="separate"/>
            </w:r>
            <w:r w:rsidR="00B33288">
              <w:rPr>
                <w:bCs/>
                <w:noProof/>
                <w:sz w:val="16"/>
                <w:szCs w:val="16"/>
              </w:rPr>
              <w:t>92</w:t>
            </w:r>
            <w:r w:rsidRPr="001A0FEB">
              <w:rPr>
                <w:iCs/>
                <w:noProof/>
                <w:sz w:val="16"/>
                <w:szCs w:val="16"/>
              </w:rPr>
              <w:fldChar w:fldCharType="end"/>
            </w:r>
            <w:r w:rsidRPr="001A0FEB">
              <w:rPr>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1A4CF" w14:textId="3B9BA72E" w:rsidR="00455FE3" w:rsidRDefault="00455FE3" w:rsidP="00CF0A4C">
    <w:pPr>
      <w:rPr>
        <w:sz w:val="20"/>
        <w:szCs w:val="20"/>
      </w:rPr>
    </w:pPr>
    <w:r>
      <w:rPr>
        <w:noProof/>
        <w:lang w:eastAsia="en-AU"/>
      </w:rPr>
      <mc:AlternateContent>
        <mc:Choice Requires="wps">
          <w:drawing>
            <wp:anchor distT="0" distB="0" distL="114300" distR="114300" simplePos="0" relativeHeight="251658241" behindDoc="1" locked="0" layoutInCell="1" allowOverlap="1" wp14:anchorId="57F4DE51" wp14:editId="5E1FAFD8">
              <wp:simplePos x="0" y="0"/>
              <wp:positionH relativeFrom="page">
                <wp:posOffset>527050</wp:posOffset>
              </wp:positionH>
              <wp:positionV relativeFrom="page">
                <wp:posOffset>10181590</wp:posOffset>
              </wp:positionV>
              <wp:extent cx="3098165" cy="127000"/>
              <wp:effectExtent l="3175" t="0" r="381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A39" w14:textId="77777777" w:rsidR="00455FE3" w:rsidRDefault="00455FE3" w:rsidP="00CF0A4C">
                          <w:r>
                            <w:rPr>
                              <w:color w:val="FFFFFF"/>
                              <w:spacing w:val="13"/>
                              <w:w w:val="80"/>
                              <w:shd w:val="clear" w:color="auto" w:fill="B80B4D"/>
                            </w:rPr>
                            <w:t xml:space="preserve"> </w:t>
                          </w:r>
                          <w:r>
                            <w:fldChar w:fldCharType="begin"/>
                          </w:r>
                          <w:r>
                            <w:rPr>
                              <w:color w:val="FFFFFF"/>
                              <w:shd w:val="clear" w:color="auto" w:fill="B80B4D"/>
                            </w:rPr>
                            <w:instrText xml:space="preserve"> PAGE </w:instrText>
                          </w:r>
                          <w:r>
                            <w:fldChar w:fldCharType="separate"/>
                          </w:r>
                          <w:r>
                            <w:rPr>
                              <w:noProof/>
                              <w:color w:val="FFFFFF"/>
                              <w:shd w:val="clear" w:color="auto" w:fill="B80B4D"/>
                            </w:rPr>
                            <w:t>42</w:t>
                          </w:r>
                          <w:r>
                            <w:fldChar w:fldCharType="end"/>
                          </w:r>
                          <w:r>
                            <w:rPr>
                              <w:color w:val="FFFFFF"/>
                              <w:w w:val="80"/>
                              <w:shd w:val="clear" w:color="auto" w:fill="B80B4D"/>
                            </w:rPr>
                            <w:t xml:space="preserve"> </w:t>
                          </w:r>
                          <w:r>
                            <w:rPr>
                              <w:color w:val="FFFFFF"/>
                            </w:rPr>
                            <w:t xml:space="preserve">  </w:t>
                          </w:r>
                          <w:r>
                            <w:rPr>
                              <w:color w:val="FFFFFF"/>
                              <w:spacing w:val="-4"/>
                            </w:rPr>
                            <w:t xml:space="preserve"> </w:t>
                          </w:r>
                          <w:r>
                            <w:rPr>
                              <w:spacing w:val="-1"/>
                              <w:w w:val="92"/>
                            </w:rPr>
                            <w:t>Depa</w:t>
                          </w:r>
                          <w:r>
                            <w:rPr>
                              <w:spacing w:val="6"/>
                              <w:w w:val="92"/>
                            </w:rPr>
                            <w:t>r</w:t>
                          </w:r>
                          <w:r>
                            <w:rPr>
                              <w:spacing w:val="3"/>
                            </w:rPr>
                            <w:t>t</w:t>
                          </w:r>
                          <w:r>
                            <w:rPr>
                              <w:spacing w:val="-1"/>
                              <w:w w:val="94"/>
                            </w:rPr>
                            <w:t>me</w:t>
                          </w:r>
                          <w:r>
                            <w:rPr>
                              <w:spacing w:val="3"/>
                              <w:w w:val="94"/>
                            </w:rPr>
                            <w:t>n</w:t>
                          </w:r>
                          <w:r>
                            <w:t>t</w:t>
                          </w:r>
                          <w:r>
                            <w:rPr>
                              <w:spacing w:val="-7"/>
                            </w:rPr>
                            <w:t xml:space="preserve"> </w:t>
                          </w:r>
                          <w:r>
                            <w:rPr>
                              <w:spacing w:val="1"/>
                              <w:w w:val="96"/>
                            </w:rPr>
                            <w:t>o</w:t>
                          </w:r>
                          <w:r>
                            <w:t>f</w:t>
                          </w:r>
                          <w:r>
                            <w:rPr>
                              <w:spacing w:val="-9"/>
                            </w:rPr>
                            <w:t xml:space="preserve"> </w:t>
                          </w:r>
                          <w:r>
                            <w:rPr>
                              <w:spacing w:val="-1"/>
                              <w:w w:val="93"/>
                            </w:rPr>
                            <w:t>Hou</w:t>
                          </w:r>
                          <w:r>
                            <w:rPr>
                              <w:spacing w:val="1"/>
                              <w:w w:val="93"/>
                            </w:rPr>
                            <w:t>s</w:t>
                          </w:r>
                          <w:r>
                            <w:rPr>
                              <w:spacing w:val="3"/>
                            </w:rPr>
                            <w:t>i</w:t>
                          </w:r>
                          <w:r>
                            <w:rPr>
                              <w:spacing w:val="-1"/>
                              <w:w w:val="96"/>
                            </w:rPr>
                            <w:t>n</w:t>
                          </w:r>
                          <w:r>
                            <w:rPr>
                              <w:w w:val="96"/>
                            </w:rPr>
                            <w:t>g</w:t>
                          </w:r>
                          <w:r>
                            <w:rPr>
                              <w:spacing w:val="-9"/>
                            </w:rPr>
                            <w:t xml:space="preserve"> </w:t>
                          </w:r>
                          <w:r>
                            <w:rPr>
                              <w:spacing w:val="-1"/>
                              <w:w w:val="96"/>
                            </w:rPr>
                            <w:t>an</w:t>
                          </w:r>
                          <w:r>
                            <w:rPr>
                              <w:w w:val="96"/>
                            </w:rPr>
                            <w:t>d</w:t>
                          </w:r>
                          <w:r>
                            <w:rPr>
                              <w:spacing w:val="-9"/>
                            </w:rPr>
                            <w:t xml:space="preserve"> </w:t>
                          </w:r>
                          <w:r>
                            <w:rPr>
                              <w:spacing w:val="-2"/>
                              <w:w w:val="81"/>
                            </w:rPr>
                            <w:t>P</w:t>
                          </w:r>
                          <w:r>
                            <w:rPr>
                              <w:w w:val="97"/>
                            </w:rPr>
                            <w:t>u</w:t>
                          </w:r>
                          <w:r>
                            <w:rPr>
                              <w:spacing w:val="1"/>
                            </w:rPr>
                            <w:t>b</w:t>
                          </w:r>
                          <w:r>
                            <w:rPr>
                              <w:spacing w:val="3"/>
                            </w:rPr>
                            <w:t>l</w:t>
                          </w:r>
                          <w:r>
                            <w:rPr>
                              <w:spacing w:val="6"/>
                            </w:rPr>
                            <w:t>i</w:t>
                          </w:r>
                          <w:r>
                            <w:rPr>
                              <w:w w:val="90"/>
                            </w:rPr>
                            <w:t>c</w:t>
                          </w:r>
                          <w:r>
                            <w:rPr>
                              <w:spacing w:val="-12"/>
                            </w:rPr>
                            <w:t xml:space="preserve"> </w:t>
                          </w:r>
                          <w:r>
                            <w:rPr>
                              <w:spacing w:val="-5"/>
                              <w:w w:val="85"/>
                            </w:rPr>
                            <w:t>W</w:t>
                          </w:r>
                          <w:r>
                            <w:rPr>
                              <w:spacing w:val="-1"/>
                              <w:w w:val="98"/>
                            </w:rPr>
                            <w:t>or</w:t>
                          </w:r>
                          <w:r>
                            <w:rPr>
                              <w:w w:val="98"/>
                            </w:rPr>
                            <w:t>k</w:t>
                          </w:r>
                          <w:r>
                            <w:rPr>
                              <w:w w:val="94"/>
                            </w:rPr>
                            <w:t>s</w:t>
                          </w:r>
                          <w:r>
                            <w:rPr>
                              <w:spacing w:val="-11"/>
                            </w:rPr>
                            <w:t xml:space="preserve"> </w:t>
                          </w:r>
                          <w:r>
                            <w:rPr>
                              <w:spacing w:val="-1"/>
                              <w:w w:val="93"/>
                            </w:rPr>
                            <w:t>Annu</w:t>
                          </w:r>
                          <w:r>
                            <w:rPr>
                              <w:spacing w:val="3"/>
                              <w:w w:val="93"/>
                            </w:rPr>
                            <w:t>a</w:t>
                          </w:r>
                          <w:r>
                            <w:t>l</w:t>
                          </w:r>
                          <w:r>
                            <w:rPr>
                              <w:spacing w:val="-7"/>
                            </w:rPr>
                            <w:t xml:space="preserve"> </w:t>
                          </w:r>
                          <w:r>
                            <w:rPr>
                              <w:spacing w:val="-2"/>
                              <w:w w:val="77"/>
                            </w:rPr>
                            <w:t>R</w:t>
                          </w:r>
                          <w:r>
                            <w:rPr>
                              <w:spacing w:val="-1"/>
                              <w:w w:val="96"/>
                            </w:rPr>
                            <w:t>epo</w:t>
                          </w:r>
                          <w:r>
                            <w:rPr>
                              <w:spacing w:val="6"/>
                              <w:w w:val="96"/>
                            </w:rPr>
                            <w:t>r</w:t>
                          </w:r>
                          <w:r>
                            <w:t>t</w:t>
                          </w:r>
                          <w:r>
                            <w:rPr>
                              <w:spacing w:val="-7"/>
                            </w:rPr>
                            <w:t xml:space="preserve"> </w:t>
                          </w:r>
                          <w:r>
                            <w:t>201</w:t>
                          </w:r>
                          <w:r>
                            <w:rPr>
                              <w:spacing w:val="3"/>
                            </w:rPr>
                            <w:t>5</w:t>
                          </w:r>
                          <w:r>
                            <w:rPr>
                              <w:spacing w:val="1"/>
                            </w:rPr>
                            <w:t>–</w:t>
                          </w: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4DE51" id="_x0000_t202" coordsize="21600,21600" o:spt="202" path="m,l,21600r21600,l21600,xe">
              <v:stroke joinstyle="miter"/>
              <v:path gradientshapeok="t" o:connecttype="rect"/>
            </v:shapetype>
            <v:shape id="Text Box 144" o:spid="_x0000_s1026" type="#_x0000_t202" style="position:absolute;margin-left:41.5pt;margin-top:801.7pt;width:243.95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EZtgIAALQ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" filled="f" stroked="f">
              <v:textbox inset="0,0,0,0">
                <w:txbxContent>
                  <w:p w14:paraId="2D7F0A39" w14:textId="77777777" w:rsidR="00455FE3" w:rsidRDefault="00455FE3" w:rsidP="00CF0A4C">
                    <w:r>
                      <w:rPr>
                        <w:color w:val="FFFFFF"/>
                        <w:spacing w:val="13"/>
                        <w:w w:val="80"/>
                        <w:shd w:val="clear" w:color="auto" w:fill="B80B4D"/>
                      </w:rPr>
                      <w:t xml:space="preserve"> </w:t>
                    </w:r>
                    <w:r>
                      <w:fldChar w:fldCharType="begin"/>
                    </w:r>
                    <w:r>
                      <w:rPr>
                        <w:color w:val="FFFFFF"/>
                        <w:shd w:val="clear" w:color="auto" w:fill="B80B4D"/>
                      </w:rPr>
                      <w:instrText xml:space="preserve"> PAGE </w:instrText>
                    </w:r>
                    <w:r>
                      <w:fldChar w:fldCharType="separate"/>
                    </w:r>
                    <w:r>
                      <w:rPr>
                        <w:noProof/>
                        <w:color w:val="FFFFFF"/>
                        <w:shd w:val="clear" w:color="auto" w:fill="B80B4D"/>
                      </w:rPr>
                      <w:t>42</w:t>
                    </w:r>
                    <w:r>
                      <w:fldChar w:fldCharType="end"/>
                    </w:r>
                    <w:r>
                      <w:rPr>
                        <w:color w:val="FFFFFF"/>
                        <w:w w:val="80"/>
                        <w:shd w:val="clear" w:color="auto" w:fill="B80B4D"/>
                      </w:rPr>
                      <w:t xml:space="preserve"> </w:t>
                    </w:r>
                    <w:r>
                      <w:rPr>
                        <w:color w:val="FFFFFF"/>
                      </w:rPr>
                      <w:t xml:space="preserve">  </w:t>
                    </w:r>
                    <w:r>
                      <w:rPr>
                        <w:color w:val="FFFFFF"/>
                        <w:spacing w:val="-4"/>
                      </w:rPr>
                      <w:t xml:space="preserve"> </w:t>
                    </w:r>
                    <w:r>
                      <w:rPr>
                        <w:spacing w:val="-1"/>
                        <w:w w:val="92"/>
                      </w:rPr>
                      <w:t>Depa</w:t>
                    </w:r>
                    <w:r>
                      <w:rPr>
                        <w:spacing w:val="6"/>
                        <w:w w:val="92"/>
                      </w:rPr>
                      <w:t>r</w:t>
                    </w:r>
                    <w:r>
                      <w:rPr>
                        <w:spacing w:val="3"/>
                      </w:rPr>
                      <w:t>t</w:t>
                    </w:r>
                    <w:r>
                      <w:rPr>
                        <w:spacing w:val="-1"/>
                        <w:w w:val="94"/>
                      </w:rPr>
                      <w:t>me</w:t>
                    </w:r>
                    <w:r>
                      <w:rPr>
                        <w:spacing w:val="3"/>
                        <w:w w:val="94"/>
                      </w:rPr>
                      <w:t>n</w:t>
                    </w:r>
                    <w:r>
                      <w:t>t</w:t>
                    </w:r>
                    <w:r>
                      <w:rPr>
                        <w:spacing w:val="-7"/>
                      </w:rPr>
                      <w:t xml:space="preserve"> </w:t>
                    </w:r>
                    <w:r>
                      <w:rPr>
                        <w:spacing w:val="1"/>
                        <w:w w:val="96"/>
                      </w:rPr>
                      <w:t>o</w:t>
                    </w:r>
                    <w:r>
                      <w:t>f</w:t>
                    </w:r>
                    <w:r>
                      <w:rPr>
                        <w:spacing w:val="-9"/>
                      </w:rPr>
                      <w:t xml:space="preserve"> </w:t>
                    </w:r>
                    <w:r>
                      <w:rPr>
                        <w:spacing w:val="-1"/>
                        <w:w w:val="93"/>
                      </w:rPr>
                      <w:t>Hou</w:t>
                    </w:r>
                    <w:r>
                      <w:rPr>
                        <w:spacing w:val="1"/>
                        <w:w w:val="93"/>
                      </w:rPr>
                      <w:t>s</w:t>
                    </w:r>
                    <w:r>
                      <w:rPr>
                        <w:spacing w:val="3"/>
                      </w:rPr>
                      <w:t>i</w:t>
                    </w:r>
                    <w:r>
                      <w:rPr>
                        <w:spacing w:val="-1"/>
                        <w:w w:val="96"/>
                      </w:rPr>
                      <w:t>n</w:t>
                    </w:r>
                    <w:r>
                      <w:rPr>
                        <w:w w:val="96"/>
                      </w:rPr>
                      <w:t>g</w:t>
                    </w:r>
                    <w:r>
                      <w:rPr>
                        <w:spacing w:val="-9"/>
                      </w:rPr>
                      <w:t xml:space="preserve"> </w:t>
                    </w:r>
                    <w:r>
                      <w:rPr>
                        <w:spacing w:val="-1"/>
                        <w:w w:val="96"/>
                      </w:rPr>
                      <w:t>an</w:t>
                    </w:r>
                    <w:r>
                      <w:rPr>
                        <w:w w:val="96"/>
                      </w:rPr>
                      <w:t>d</w:t>
                    </w:r>
                    <w:r>
                      <w:rPr>
                        <w:spacing w:val="-9"/>
                      </w:rPr>
                      <w:t xml:space="preserve"> </w:t>
                    </w:r>
                    <w:r>
                      <w:rPr>
                        <w:spacing w:val="-2"/>
                        <w:w w:val="81"/>
                      </w:rPr>
                      <w:t>P</w:t>
                    </w:r>
                    <w:r>
                      <w:rPr>
                        <w:w w:val="97"/>
                      </w:rPr>
                      <w:t>u</w:t>
                    </w:r>
                    <w:r>
                      <w:rPr>
                        <w:spacing w:val="1"/>
                      </w:rPr>
                      <w:t>b</w:t>
                    </w:r>
                    <w:r>
                      <w:rPr>
                        <w:spacing w:val="3"/>
                      </w:rPr>
                      <w:t>l</w:t>
                    </w:r>
                    <w:r>
                      <w:rPr>
                        <w:spacing w:val="6"/>
                      </w:rPr>
                      <w:t>i</w:t>
                    </w:r>
                    <w:r>
                      <w:rPr>
                        <w:w w:val="90"/>
                      </w:rPr>
                      <w:t>c</w:t>
                    </w:r>
                    <w:r>
                      <w:rPr>
                        <w:spacing w:val="-12"/>
                      </w:rPr>
                      <w:t xml:space="preserve"> </w:t>
                    </w:r>
                    <w:r>
                      <w:rPr>
                        <w:spacing w:val="-5"/>
                        <w:w w:val="85"/>
                      </w:rPr>
                      <w:t>W</w:t>
                    </w:r>
                    <w:r>
                      <w:rPr>
                        <w:spacing w:val="-1"/>
                        <w:w w:val="98"/>
                      </w:rPr>
                      <w:t>or</w:t>
                    </w:r>
                    <w:r>
                      <w:rPr>
                        <w:w w:val="98"/>
                      </w:rPr>
                      <w:t>k</w:t>
                    </w:r>
                    <w:r>
                      <w:rPr>
                        <w:w w:val="94"/>
                      </w:rPr>
                      <w:t>s</w:t>
                    </w:r>
                    <w:r>
                      <w:rPr>
                        <w:spacing w:val="-11"/>
                      </w:rPr>
                      <w:t xml:space="preserve"> </w:t>
                    </w:r>
                    <w:r>
                      <w:rPr>
                        <w:spacing w:val="-1"/>
                        <w:w w:val="93"/>
                      </w:rPr>
                      <w:t>Annu</w:t>
                    </w:r>
                    <w:r>
                      <w:rPr>
                        <w:spacing w:val="3"/>
                        <w:w w:val="93"/>
                      </w:rPr>
                      <w:t>a</w:t>
                    </w:r>
                    <w:r>
                      <w:t>l</w:t>
                    </w:r>
                    <w:r>
                      <w:rPr>
                        <w:spacing w:val="-7"/>
                      </w:rPr>
                      <w:t xml:space="preserve"> </w:t>
                    </w:r>
                    <w:r>
                      <w:rPr>
                        <w:spacing w:val="-2"/>
                        <w:w w:val="77"/>
                      </w:rPr>
                      <w:t>R</w:t>
                    </w:r>
                    <w:r>
                      <w:rPr>
                        <w:spacing w:val="-1"/>
                        <w:w w:val="96"/>
                      </w:rPr>
                      <w:t>epo</w:t>
                    </w:r>
                    <w:r>
                      <w:rPr>
                        <w:spacing w:val="6"/>
                        <w:w w:val="96"/>
                      </w:rPr>
                      <w:t>r</w:t>
                    </w:r>
                    <w:r>
                      <w:t>t</w:t>
                    </w:r>
                    <w:r>
                      <w:rPr>
                        <w:spacing w:val="-7"/>
                      </w:rPr>
                      <w:t xml:space="preserve"> </w:t>
                    </w:r>
                    <w:r>
                      <w:t>201</w:t>
                    </w:r>
                    <w:r>
                      <w:rPr>
                        <w:spacing w:val="3"/>
                      </w:rPr>
                      <w:t>5</w:t>
                    </w:r>
                    <w:r>
                      <w:rPr>
                        <w:spacing w:val="1"/>
                      </w:rPr>
                      <w:t>–</w:t>
                    </w:r>
                    <w:r>
                      <w:t>16</w:t>
                    </w:r>
                  </w:p>
                </w:txbxContent>
              </v:textbox>
              <w10:wrap anchorx="page" anchory="page"/>
            </v:shape>
          </w:pict>
        </mc:Fallback>
      </mc:AlternateContent>
    </w:r>
    <w:r>
      <w:rPr>
        <w:noProof/>
        <w:lang w:eastAsia="en-AU"/>
      </w:rPr>
      <mc:AlternateContent>
        <mc:Choice Requires="wps">
          <w:drawing>
            <wp:anchor distT="0" distB="0" distL="114300" distR="114300" simplePos="0" relativeHeight="251658242" behindDoc="1" locked="0" layoutInCell="1" allowOverlap="1" wp14:anchorId="3B3A1818" wp14:editId="2B3C1919">
              <wp:simplePos x="0" y="0"/>
              <wp:positionH relativeFrom="page">
                <wp:posOffset>527050</wp:posOffset>
              </wp:positionH>
              <wp:positionV relativeFrom="page">
                <wp:posOffset>10181590</wp:posOffset>
              </wp:positionV>
              <wp:extent cx="3098165" cy="127000"/>
              <wp:effectExtent l="3175"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78F21" w14:textId="77777777" w:rsidR="00455FE3" w:rsidRDefault="00455FE3" w:rsidP="00CF0A4C">
                          <w:r>
                            <w:rPr>
                              <w:color w:val="FFFFFF"/>
                              <w:spacing w:val="13"/>
                              <w:w w:val="80"/>
                              <w:shd w:val="clear" w:color="auto" w:fill="B80B4D"/>
                            </w:rPr>
                            <w:t xml:space="preserve"> </w:t>
                          </w:r>
                          <w:r>
                            <w:fldChar w:fldCharType="begin"/>
                          </w:r>
                          <w:r>
                            <w:rPr>
                              <w:color w:val="FFFFFF"/>
                              <w:shd w:val="clear" w:color="auto" w:fill="B80B4D"/>
                            </w:rPr>
                            <w:instrText xml:space="preserve"> PAGE </w:instrText>
                          </w:r>
                          <w:r>
                            <w:fldChar w:fldCharType="separate"/>
                          </w:r>
                          <w:r>
                            <w:rPr>
                              <w:noProof/>
                              <w:color w:val="FFFFFF"/>
                              <w:shd w:val="clear" w:color="auto" w:fill="B80B4D"/>
                            </w:rPr>
                            <w:t>36</w:t>
                          </w:r>
                          <w:r>
                            <w:fldChar w:fldCharType="end"/>
                          </w:r>
                          <w:r>
                            <w:rPr>
                              <w:color w:val="FFFFFF"/>
                              <w:w w:val="80"/>
                              <w:shd w:val="clear" w:color="auto" w:fill="B80B4D"/>
                            </w:rPr>
                            <w:t xml:space="preserve"> </w:t>
                          </w:r>
                          <w:r>
                            <w:rPr>
                              <w:color w:val="FFFFFF"/>
                            </w:rPr>
                            <w:t xml:space="preserve">  </w:t>
                          </w:r>
                          <w:r>
                            <w:rPr>
                              <w:color w:val="FFFFFF"/>
                              <w:spacing w:val="-4"/>
                            </w:rPr>
                            <w:t xml:space="preserve"> </w:t>
                          </w:r>
                          <w:r>
                            <w:rPr>
                              <w:spacing w:val="-1"/>
                              <w:w w:val="92"/>
                            </w:rPr>
                            <w:t>Depa</w:t>
                          </w:r>
                          <w:r>
                            <w:rPr>
                              <w:spacing w:val="6"/>
                              <w:w w:val="92"/>
                            </w:rPr>
                            <w:t>r</w:t>
                          </w:r>
                          <w:r>
                            <w:rPr>
                              <w:spacing w:val="3"/>
                            </w:rPr>
                            <w:t>t</w:t>
                          </w:r>
                          <w:r>
                            <w:rPr>
                              <w:spacing w:val="-1"/>
                              <w:w w:val="94"/>
                            </w:rPr>
                            <w:t>me</w:t>
                          </w:r>
                          <w:r>
                            <w:rPr>
                              <w:spacing w:val="3"/>
                              <w:w w:val="94"/>
                            </w:rPr>
                            <w:t>n</w:t>
                          </w:r>
                          <w:r>
                            <w:t>t</w:t>
                          </w:r>
                          <w:r>
                            <w:rPr>
                              <w:spacing w:val="-7"/>
                            </w:rPr>
                            <w:t xml:space="preserve"> </w:t>
                          </w:r>
                          <w:r>
                            <w:rPr>
                              <w:spacing w:val="1"/>
                              <w:w w:val="96"/>
                            </w:rPr>
                            <w:t>o</w:t>
                          </w:r>
                          <w:r>
                            <w:t>f</w:t>
                          </w:r>
                          <w:r>
                            <w:rPr>
                              <w:spacing w:val="-9"/>
                            </w:rPr>
                            <w:t xml:space="preserve"> </w:t>
                          </w:r>
                          <w:r>
                            <w:rPr>
                              <w:spacing w:val="-1"/>
                              <w:w w:val="93"/>
                            </w:rPr>
                            <w:t>Hou</w:t>
                          </w:r>
                          <w:r>
                            <w:rPr>
                              <w:spacing w:val="1"/>
                              <w:w w:val="93"/>
                            </w:rPr>
                            <w:t>s</w:t>
                          </w:r>
                          <w:r>
                            <w:rPr>
                              <w:spacing w:val="3"/>
                            </w:rPr>
                            <w:t>i</w:t>
                          </w:r>
                          <w:r>
                            <w:rPr>
                              <w:spacing w:val="-1"/>
                              <w:w w:val="96"/>
                            </w:rPr>
                            <w:t>n</w:t>
                          </w:r>
                          <w:r>
                            <w:rPr>
                              <w:w w:val="96"/>
                            </w:rPr>
                            <w:t>g</w:t>
                          </w:r>
                          <w:r>
                            <w:rPr>
                              <w:spacing w:val="-9"/>
                            </w:rPr>
                            <w:t xml:space="preserve"> </w:t>
                          </w:r>
                          <w:r>
                            <w:rPr>
                              <w:spacing w:val="-1"/>
                              <w:w w:val="96"/>
                            </w:rPr>
                            <w:t>an</w:t>
                          </w:r>
                          <w:r>
                            <w:rPr>
                              <w:w w:val="96"/>
                            </w:rPr>
                            <w:t>d</w:t>
                          </w:r>
                          <w:r>
                            <w:rPr>
                              <w:spacing w:val="-9"/>
                            </w:rPr>
                            <w:t xml:space="preserve"> </w:t>
                          </w:r>
                          <w:r>
                            <w:rPr>
                              <w:spacing w:val="-2"/>
                              <w:w w:val="81"/>
                            </w:rPr>
                            <w:t>P</w:t>
                          </w:r>
                          <w:r>
                            <w:rPr>
                              <w:w w:val="97"/>
                            </w:rPr>
                            <w:t>u</w:t>
                          </w:r>
                          <w:r>
                            <w:rPr>
                              <w:spacing w:val="1"/>
                            </w:rPr>
                            <w:t>b</w:t>
                          </w:r>
                          <w:r>
                            <w:rPr>
                              <w:spacing w:val="3"/>
                            </w:rPr>
                            <w:t>l</w:t>
                          </w:r>
                          <w:r>
                            <w:rPr>
                              <w:spacing w:val="6"/>
                            </w:rPr>
                            <w:t>i</w:t>
                          </w:r>
                          <w:r>
                            <w:rPr>
                              <w:w w:val="90"/>
                            </w:rPr>
                            <w:t>c</w:t>
                          </w:r>
                          <w:r>
                            <w:rPr>
                              <w:spacing w:val="-12"/>
                            </w:rPr>
                            <w:t xml:space="preserve"> </w:t>
                          </w:r>
                          <w:r>
                            <w:rPr>
                              <w:spacing w:val="-5"/>
                              <w:w w:val="85"/>
                            </w:rPr>
                            <w:t>W</w:t>
                          </w:r>
                          <w:r>
                            <w:rPr>
                              <w:spacing w:val="-1"/>
                              <w:w w:val="98"/>
                            </w:rPr>
                            <w:t>or</w:t>
                          </w:r>
                          <w:r>
                            <w:rPr>
                              <w:w w:val="98"/>
                            </w:rPr>
                            <w:t>k</w:t>
                          </w:r>
                          <w:r>
                            <w:rPr>
                              <w:w w:val="94"/>
                            </w:rPr>
                            <w:t>s</w:t>
                          </w:r>
                          <w:r>
                            <w:rPr>
                              <w:spacing w:val="-11"/>
                            </w:rPr>
                            <w:t xml:space="preserve"> </w:t>
                          </w:r>
                          <w:r>
                            <w:rPr>
                              <w:spacing w:val="-1"/>
                              <w:w w:val="93"/>
                            </w:rPr>
                            <w:t>Annu</w:t>
                          </w:r>
                          <w:r>
                            <w:rPr>
                              <w:spacing w:val="3"/>
                              <w:w w:val="93"/>
                            </w:rPr>
                            <w:t>a</w:t>
                          </w:r>
                          <w:r>
                            <w:t>l</w:t>
                          </w:r>
                          <w:r>
                            <w:rPr>
                              <w:spacing w:val="-7"/>
                            </w:rPr>
                            <w:t xml:space="preserve"> </w:t>
                          </w:r>
                          <w:r>
                            <w:rPr>
                              <w:spacing w:val="-2"/>
                              <w:w w:val="77"/>
                            </w:rPr>
                            <w:t>R</w:t>
                          </w:r>
                          <w:r>
                            <w:rPr>
                              <w:spacing w:val="-1"/>
                              <w:w w:val="96"/>
                            </w:rPr>
                            <w:t>epo</w:t>
                          </w:r>
                          <w:r>
                            <w:rPr>
                              <w:spacing w:val="6"/>
                              <w:w w:val="96"/>
                            </w:rPr>
                            <w:t>r</w:t>
                          </w:r>
                          <w:r>
                            <w:t>t</w:t>
                          </w:r>
                          <w:r>
                            <w:rPr>
                              <w:spacing w:val="-7"/>
                            </w:rPr>
                            <w:t xml:space="preserve"> </w:t>
                          </w:r>
                          <w:r>
                            <w:t>201</w:t>
                          </w:r>
                          <w:r>
                            <w:rPr>
                              <w:spacing w:val="3"/>
                            </w:rPr>
                            <w:t>5</w:t>
                          </w:r>
                          <w:r>
                            <w:rPr>
                              <w:spacing w:val="1"/>
                            </w:rPr>
                            <w:t>–</w:t>
                          </w:r>
                          <w: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1818" id="Text Box 4" o:spid="_x0000_s1027" type="#_x0000_t202" style="position:absolute;margin-left:41.5pt;margin-top:801.7pt;width:243.95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ofItQIAALA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" filled="f" stroked="f">
              <v:textbox inset="0,0,0,0">
                <w:txbxContent>
                  <w:p w14:paraId="2EF78F21" w14:textId="77777777" w:rsidR="00455FE3" w:rsidRDefault="00455FE3" w:rsidP="00CF0A4C">
                    <w:r>
                      <w:rPr>
                        <w:color w:val="FFFFFF"/>
                        <w:spacing w:val="13"/>
                        <w:w w:val="80"/>
                        <w:shd w:val="clear" w:color="auto" w:fill="B80B4D"/>
                      </w:rPr>
                      <w:t xml:space="preserve"> </w:t>
                    </w:r>
                    <w:r>
                      <w:fldChar w:fldCharType="begin"/>
                    </w:r>
                    <w:r>
                      <w:rPr>
                        <w:color w:val="FFFFFF"/>
                        <w:shd w:val="clear" w:color="auto" w:fill="B80B4D"/>
                      </w:rPr>
                      <w:instrText xml:space="preserve"> PAGE </w:instrText>
                    </w:r>
                    <w:r>
                      <w:fldChar w:fldCharType="separate"/>
                    </w:r>
                    <w:r>
                      <w:rPr>
                        <w:noProof/>
                        <w:color w:val="FFFFFF"/>
                        <w:shd w:val="clear" w:color="auto" w:fill="B80B4D"/>
                      </w:rPr>
                      <w:t>36</w:t>
                    </w:r>
                    <w:r>
                      <w:fldChar w:fldCharType="end"/>
                    </w:r>
                    <w:r>
                      <w:rPr>
                        <w:color w:val="FFFFFF"/>
                        <w:w w:val="80"/>
                        <w:shd w:val="clear" w:color="auto" w:fill="B80B4D"/>
                      </w:rPr>
                      <w:t xml:space="preserve"> </w:t>
                    </w:r>
                    <w:r>
                      <w:rPr>
                        <w:color w:val="FFFFFF"/>
                      </w:rPr>
                      <w:t xml:space="preserve">  </w:t>
                    </w:r>
                    <w:r>
                      <w:rPr>
                        <w:color w:val="FFFFFF"/>
                        <w:spacing w:val="-4"/>
                      </w:rPr>
                      <w:t xml:space="preserve"> </w:t>
                    </w:r>
                    <w:r>
                      <w:rPr>
                        <w:spacing w:val="-1"/>
                        <w:w w:val="92"/>
                      </w:rPr>
                      <w:t>Depa</w:t>
                    </w:r>
                    <w:r>
                      <w:rPr>
                        <w:spacing w:val="6"/>
                        <w:w w:val="92"/>
                      </w:rPr>
                      <w:t>r</w:t>
                    </w:r>
                    <w:r>
                      <w:rPr>
                        <w:spacing w:val="3"/>
                      </w:rPr>
                      <w:t>t</w:t>
                    </w:r>
                    <w:r>
                      <w:rPr>
                        <w:spacing w:val="-1"/>
                        <w:w w:val="94"/>
                      </w:rPr>
                      <w:t>me</w:t>
                    </w:r>
                    <w:r>
                      <w:rPr>
                        <w:spacing w:val="3"/>
                        <w:w w:val="94"/>
                      </w:rPr>
                      <w:t>n</w:t>
                    </w:r>
                    <w:r>
                      <w:t>t</w:t>
                    </w:r>
                    <w:r>
                      <w:rPr>
                        <w:spacing w:val="-7"/>
                      </w:rPr>
                      <w:t xml:space="preserve"> </w:t>
                    </w:r>
                    <w:r>
                      <w:rPr>
                        <w:spacing w:val="1"/>
                        <w:w w:val="96"/>
                      </w:rPr>
                      <w:t>o</w:t>
                    </w:r>
                    <w:r>
                      <w:t>f</w:t>
                    </w:r>
                    <w:r>
                      <w:rPr>
                        <w:spacing w:val="-9"/>
                      </w:rPr>
                      <w:t xml:space="preserve"> </w:t>
                    </w:r>
                    <w:r>
                      <w:rPr>
                        <w:spacing w:val="-1"/>
                        <w:w w:val="93"/>
                      </w:rPr>
                      <w:t>Hou</w:t>
                    </w:r>
                    <w:r>
                      <w:rPr>
                        <w:spacing w:val="1"/>
                        <w:w w:val="93"/>
                      </w:rPr>
                      <w:t>s</w:t>
                    </w:r>
                    <w:r>
                      <w:rPr>
                        <w:spacing w:val="3"/>
                      </w:rPr>
                      <w:t>i</w:t>
                    </w:r>
                    <w:r>
                      <w:rPr>
                        <w:spacing w:val="-1"/>
                        <w:w w:val="96"/>
                      </w:rPr>
                      <w:t>n</w:t>
                    </w:r>
                    <w:r>
                      <w:rPr>
                        <w:w w:val="96"/>
                      </w:rPr>
                      <w:t>g</w:t>
                    </w:r>
                    <w:r>
                      <w:rPr>
                        <w:spacing w:val="-9"/>
                      </w:rPr>
                      <w:t xml:space="preserve"> </w:t>
                    </w:r>
                    <w:r>
                      <w:rPr>
                        <w:spacing w:val="-1"/>
                        <w:w w:val="96"/>
                      </w:rPr>
                      <w:t>an</w:t>
                    </w:r>
                    <w:r>
                      <w:rPr>
                        <w:w w:val="96"/>
                      </w:rPr>
                      <w:t>d</w:t>
                    </w:r>
                    <w:r>
                      <w:rPr>
                        <w:spacing w:val="-9"/>
                      </w:rPr>
                      <w:t xml:space="preserve"> </w:t>
                    </w:r>
                    <w:r>
                      <w:rPr>
                        <w:spacing w:val="-2"/>
                        <w:w w:val="81"/>
                      </w:rPr>
                      <w:t>P</w:t>
                    </w:r>
                    <w:r>
                      <w:rPr>
                        <w:w w:val="97"/>
                      </w:rPr>
                      <w:t>u</w:t>
                    </w:r>
                    <w:r>
                      <w:rPr>
                        <w:spacing w:val="1"/>
                      </w:rPr>
                      <w:t>b</w:t>
                    </w:r>
                    <w:r>
                      <w:rPr>
                        <w:spacing w:val="3"/>
                      </w:rPr>
                      <w:t>l</w:t>
                    </w:r>
                    <w:r>
                      <w:rPr>
                        <w:spacing w:val="6"/>
                      </w:rPr>
                      <w:t>i</w:t>
                    </w:r>
                    <w:r>
                      <w:rPr>
                        <w:w w:val="90"/>
                      </w:rPr>
                      <w:t>c</w:t>
                    </w:r>
                    <w:r>
                      <w:rPr>
                        <w:spacing w:val="-12"/>
                      </w:rPr>
                      <w:t xml:space="preserve"> </w:t>
                    </w:r>
                    <w:r>
                      <w:rPr>
                        <w:spacing w:val="-5"/>
                        <w:w w:val="85"/>
                      </w:rPr>
                      <w:t>W</w:t>
                    </w:r>
                    <w:r>
                      <w:rPr>
                        <w:spacing w:val="-1"/>
                        <w:w w:val="98"/>
                      </w:rPr>
                      <w:t>or</w:t>
                    </w:r>
                    <w:r>
                      <w:rPr>
                        <w:w w:val="98"/>
                      </w:rPr>
                      <w:t>k</w:t>
                    </w:r>
                    <w:r>
                      <w:rPr>
                        <w:w w:val="94"/>
                      </w:rPr>
                      <w:t>s</w:t>
                    </w:r>
                    <w:r>
                      <w:rPr>
                        <w:spacing w:val="-11"/>
                      </w:rPr>
                      <w:t xml:space="preserve"> </w:t>
                    </w:r>
                    <w:r>
                      <w:rPr>
                        <w:spacing w:val="-1"/>
                        <w:w w:val="93"/>
                      </w:rPr>
                      <w:t>Annu</w:t>
                    </w:r>
                    <w:r>
                      <w:rPr>
                        <w:spacing w:val="3"/>
                        <w:w w:val="93"/>
                      </w:rPr>
                      <w:t>a</w:t>
                    </w:r>
                    <w:r>
                      <w:t>l</w:t>
                    </w:r>
                    <w:r>
                      <w:rPr>
                        <w:spacing w:val="-7"/>
                      </w:rPr>
                      <w:t xml:space="preserve"> </w:t>
                    </w:r>
                    <w:r>
                      <w:rPr>
                        <w:spacing w:val="-2"/>
                        <w:w w:val="77"/>
                      </w:rPr>
                      <w:t>R</w:t>
                    </w:r>
                    <w:r>
                      <w:rPr>
                        <w:spacing w:val="-1"/>
                        <w:w w:val="96"/>
                      </w:rPr>
                      <w:t>epo</w:t>
                    </w:r>
                    <w:r>
                      <w:rPr>
                        <w:spacing w:val="6"/>
                        <w:w w:val="96"/>
                      </w:rPr>
                      <w:t>r</w:t>
                    </w:r>
                    <w:r>
                      <w:t>t</w:t>
                    </w:r>
                    <w:r>
                      <w:rPr>
                        <w:spacing w:val="-7"/>
                      </w:rPr>
                      <w:t xml:space="preserve"> </w:t>
                    </w:r>
                    <w:r>
                      <w:t>201</w:t>
                    </w:r>
                    <w:r>
                      <w:rPr>
                        <w:spacing w:val="3"/>
                      </w:rPr>
                      <w:t>5</w:t>
                    </w:r>
                    <w:r>
                      <w:rPr>
                        <w:spacing w:val="1"/>
                      </w:rPr>
                      <w:t>–</w:t>
                    </w:r>
                    <w:r>
                      <w:t>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13797349"/>
      <w:docPartObj>
        <w:docPartGallery w:val="Page Numbers (Bottom of Page)"/>
        <w:docPartUnique/>
      </w:docPartObj>
    </w:sdtPr>
    <w:sdtContent>
      <w:sdt>
        <w:sdtPr>
          <w:rPr>
            <w:sz w:val="16"/>
            <w:szCs w:val="16"/>
          </w:rPr>
          <w:id w:val="-811797739"/>
          <w:docPartObj>
            <w:docPartGallery w:val="Page Numbers (Top of Page)"/>
            <w:docPartUnique/>
          </w:docPartObj>
        </w:sdtPr>
        <w:sdtContent>
          <w:p w14:paraId="7CA2FE45" w14:textId="23CB7B81" w:rsidR="00455FE3" w:rsidRPr="00F15507" w:rsidRDefault="00455FE3" w:rsidP="00CF0A4C">
            <w:pPr>
              <w:pStyle w:val="Footer"/>
              <w:rPr>
                <w:sz w:val="16"/>
                <w:szCs w:val="16"/>
              </w:rPr>
            </w:pPr>
            <w:r w:rsidRPr="00F15507">
              <w:rPr>
                <w:sz w:val="16"/>
                <w:szCs w:val="16"/>
              </w:rPr>
              <w:tab/>
            </w:r>
            <w:r w:rsidRPr="00F15507">
              <w:rPr>
                <w:iCs/>
                <w:noProof/>
                <w:sz w:val="16"/>
                <w:szCs w:val="16"/>
              </w:rPr>
              <w:fldChar w:fldCharType="begin"/>
            </w:r>
            <w:r w:rsidRPr="00F15507">
              <w:rPr>
                <w:bCs/>
                <w:sz w:val="16"/>
                <w:szCs w:val="16"/>
              </w:rPr>
              <w:instrText xml:space="preserve"> PAGE </w:instrText>
            </w:r>
            <w:r w:rsidRPr="00F15507">
              <w:rPr>
                <w:bCs/>
                <w:sz w:val="16"/>
                <w:szCs w:val="16"/>
              </w:rPr>
              <w:fldChar w:fldCharType="separate"/>
            </w:r>
            <w:r w:rsidR="004D5487">
              <w:rPr>
                <w:bCs/>
                <w:noProof/>
                <w:sz w:val="16"/>
                <w:szCs w:val="16"/>
              </w:rPr>
              <w:t>56</w:t>
            </w:r>
            <w:r w:rsidRPr="00F15507">
              <w:rPr>
                <w:iCs/>
                <w:noProof/>
                <w:sz w:val="16"/>
                <w:szCs w:val="16"/>
              </w:rPr>
              <w:fldChar w:fldCharType="end"/>
            </w:r>
            <w:r w:rsidRPr="00F15507">
              <w:rPr>
                <w:iCs/>
                <w:sz w:val="16"/>
                <w:szCs w:val="16"/>
              </w:rPr>
              <w:t>/</w:t>
            </w:r>
            <w:r w:rsidRPr="00F15507">
              <w:rPr>
                <w:iCs/>
                <w:noProof/>
                <w:sz w:val="16"/>
                <w:szCs w:val="16"/>
              </w:rPr>
              <w:fldChar w:fldCharType="begin"/>
            </w:r>
            <w:r w:rsidRPr="00F15507">
              <w:rPr>
                <w:bCs/>
                <w:sz w:val="16"/>
                <w:szCs w:val="16"/>
              </w:rPr>
              <w:instrText xml:space="preserve"> NUMPAGES  </w:instrText>
            </w:r>
            <w:r w:rsidRPr="00F15507">
              <w:rPr>
                <w:bCs/>
                <w:sz w:val="16"/>
                <w:szCs w:val="16"/>
              </w:rPr>
              <w:fldChar w:fldCharType="separate"/>
            </w:r>
            <w:r w:rsidR="004D5487">
              <w:rPr>
                <w:bCs/>
                <w:noProof/>
                <w:sz w:val="16"/>
                <w:szCs w:val="16"/>
              </w:rPr>
              <w:t>92</w:t>
            </w:r>
            <w:r w:rsidRPr="00F15507">
              <w:rPr>
                <w:iCs/>
                <w:noProof/>
                <w:sz w:val="16"/>
                <w:szCs w:val="16"/>
              </w:rPr>
              <w:fldChar w:fldCharType="end"/>
            </w:r>
            <w:r w:rsidRPr="00F15507">
              <w:rPr>
                <w:sz w:val="16"/>
                <w:szCs w:val="16"/>
              </w:rPr>
              <w:tab/>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6EDF" w14:textId="77777777" w:rsidR="00455FE3" w:rsidRDefault="00455FE3">
    <w:pPr>
      <w:spacing w:line="14" w:lineRule="auto"/>
      <w:rPr>
        <w:sz w:val="20"/>
        <w:szCs w:val="20"/>
      </w:rPr>
    </w:pPr>
    <w:r>
      <w:rPr>
        <w:noProof/>
        <w:lang w:eastAsia="en-AU"/>
      </w:rPr>
      <mc:AlternateContent>
        <mc:Choice Requires="wps">
          <w:drawing>
            <wp:anchor distT="0" distB="0" distL="114300" distR="114300" simplePos="0" relativeHeight="251660290" behindDoc="1" locked="0" layoutInCell="1" allowOverlap="1" wp14:anchorId="47F7628F" wp14:editId="788CE588">
              <wp:simplePos x="0" y="0"/>
              <wp:positionH relativeFrom="page">
                <wp:posOffset>527050</wp:posOffset>
              </wp:positionH>
              <wp:positionV relativeFrom="page">
                <wp:posOffset>10181590</wp:posOffset>
              </wp:positionV>
              <wp:extent cx="3098165" cy="127000"/>
              <wp:effectExtent l="3175" t="0" r="3810" b="0"/>
              <wp:wrapNone/>
              <wp:docPr id="2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7DCF9" w14:textId="77777777" w:rsidR="00455FE3" w:rsidRDefault="00455FE3">
                          <w:pPr>
                            <w:spacing w:line="184" w:lineRule="exact"/>
                            <w:ind w:left="20"/>
                            <w:rPr>
                              <w:rFonts w:eastAsia="Arial" w:cs="Arial"/>
                              <w:sz w:val="16"/>
                              <w:szCs w:val="16"/>
                            </w:rPr>
                          </w:pPr>
                          <w:r>
                            <w:rPr>
                              <w:rFonts w:eastAsia="Arial" w:cs="Arial"/>
                              <w:color w:val="FFFFFF"/>
                              <w:spacing w:val="13"/>
                              <w:w w:val="80"/>
                              <w:sz w:val="16"/>
                              <w:szCs w:val="16"/>
                              <w:shd w:val="clear" w:color="auto" w:fill="B80B4D"/>
                            </w:rPr>
                            <w:t xml:space="preserve"> </w:t>
                          </w:r>
                          <w:r>
                            <w:fldChar w:fldCharType="begin"/>
                          </w:r>
                          <w:r>
                            <w:rPr>
                              <w:rFonts w:eastAsia="Arial" w:cs="Arial"/>
                              <w:color w:val="FFFFFF"/>
                              <w:sz w:val="16"/>
                              <w:szCs w:val="16"/>
                              <w:shd w:val="clear" w:color="auto" w:fill="B80B4D"/>
                            </w:rPr>
                            <w:instrText xml:space="preserve"> PAGE </w:instrText>
                          </w:r>
                          <w:r>
                            <w:fldChar w:fldCharType="separate"/>
                          </w:r>
                          <w:r>
                            <w:rPr>
                              <w:rFonts w:eastAsia="Arial" w:cs="Arial"/>
                              <w:noProof/>
                              <w:color w:val="FFFFFF"/>
                              <w:sz w:val="16"/>
                              <w:szCs w:val="16"/>
                              <w:shd w:val="clear" w:color="auto" w:fill="B80B4D"/>
                            </w:rPr>
                            <w:t>4</w:t>
                          </w:r>
                          <w:r>
                            <w:fldChar w:fldCharType="end"/>
                          </w:r>
                          <w:r>
                            <w:rPr>
                              <w:rFonts w:eastAsia="Arial" w:cs="Arial"/>
                              <w:color w:val="FFFFFF"/>
                              <w:w w:val="80"/>
                              <w:sz w:val="16"/>
                              <w:szCs w:val="16"/>
                              <w:shd w:val="clear" w:color="auto" w:fill="B80B4D"/>
                            </w:rPr>
                            <w:t xml:space="preserve"> </w:t>
                          </w:r>
                          <w:r>
                            <w:rPr>
                              <w:rFonts w:eastAsia="Arial" w:cs="Arial"/>
                              <w:color w:val="FFFFFF"/>
                              <w:sz w:val="16"/>
                              <w:szCs w:val="16"/>
                            </w:rPr>
                            <w:t xml:space="preserve">  </w:t>
                          </w:r>
                          <w:r>
                            <w:rPr>
                              <w:rFonts w:eastAsia="Arial" w:cs="Arial"/>
                              <w:color w:val="FFFFFF"/>
                              <w:spacing w:val="-4"/>
                              <w:sz w:val="16"/>
                              <w:szCs w:val="16"/>
                            </w:rPr>
                            <w:t xml:space="preserve"> </w:t>
                          </w:r>
                          <w:r>
                            <w:rPr>
                              <w:rFonts w:eastAsia="Arial" w:cs="Arial"/>
                              <w:color w:val="B80B4D"/>
                              <w:spacing w:val="-1"/>
                              <w:w w:val="92"/>
                              <w:sz w:val="16"/>
                              <w:szCs w:val="16"/>
                            </w:rPr>
                            <w:t>Depa</w:t>
                          </w:r>
                          <w:r>
                            <w:rPr>
                              <w:rFonts w:eastAsia="Arial" w:cs="Arial"/>
                              <w:color w:val="B80B4D"/>
                              <w:spacing w:val="6"/>
                              <w:w w:val="92"/>
                              <w:sz w:val="16"/>
                              <w:szCs w:val="16"/>
                            </w:rPr>
                            <w:t>r</w:t>
                          </w:r>
                          <w:r>
                            <w:rPr>
                              <w:rFonts w:eastAsia="Arial" w:cs="Arial"/>
                              <w:color w:val="B80B4D"/>
                              <w:spacing w:val="3"/>
                              <w:sz w:val="16"/>
                              <w:szCs w:val="16"/>
                            </w:rPr>
                            <w:t>t</w:t>
                          </w:r>
                          <w:r>
                            <w:rPr>
                              <w:rFonts w:eastAsia="Arial" w:cs="Arial"/>
                              <w:color w:val="B80B4D"/>
                              <w:spacing w:val="-1"/>
                              <w:w w:val="94"/>
                              <w:sz w:val="16"/>
                              <w:szCs w:val="16"/>
                            </w:rPr>
                            <w:t>me</w:t>
                          </w:r>
                          <w:r>
                            <w:rPr>
                              <w:rFonts w:eastAsia="Arial" w:cs="Arial"/>
                              <w:color w:val="B80B4D"/>
                              <w:spacing w:val="3"/>
                              <w:w w:val="94"/>
                              <w:sz w:val="16"/>
                              <w:szCs w:val="16"/>
                            </w:rPr>
                            <w:t>n</w:t>
                          </w:r>
                          <w:r>
                            <w:rPr>
                              <w:rFonts w:eastAsia="Arial" w:cs="Arial"/>
                              <w:color w:val="B80B4D"/>
                              <w:sz w:val="16"/>
                              <w:szCs w:val="16"/>
                            </w:rPr>
                            <w:t>t</w:t>
                          </w:r>
                          <w:r>
                            <w:rPr>
                              <w:rFonts w:eastAsia="Arial" w:cs="Arial"/>
                              <w:color w:val="B80B4D"/>
                              <w:spacing w:val="-7"/>
                              <w:sz w:val="16"/>
                              <w:szCs w:val="16"/>
                            </w:rPr>
                            <w:t xml:space="preserve"> </w:t>
                          </w:r>
                          <w:r>
                            <w:rPr>
                              <w:rFonts w:eastAsia="Arial" w:cs="Arial"/>
                              <w:color w:val="B80B4D"/>
                              <w:spacing w:val="1"/>
                              <w:w w:val="96"/>
                              <w:sz w:val="16"/>
                              <w:szCs w:val="16"/>
                            </w:rPr>
                            <w:t>o</w:t>
                          </w:r>
                          <w:r>
                            <w:rPr>
                              <w:rFonts w:eastAsia="Arial" w:cs="Arial"/>
                              <w:color w:val="B80B4D"/>
                              <w:sz w:val="16"/>
                              <w:szCs w:val="16"/>
                            </w:rPr>
                            <w:t>f</w:t>
                          </w:r>
                          <w:r>
                            <w:rPr>
                              <w:rFonts w:eastAsia="Arial" w:cs="Arial"/>
                              <w:color w:val="B80B4D"/>
                              <w:spacing w:val="-9"/>
                              <w:sz w:val="16"/>
                              <w:szCs w:val="16"/>
                            </w:rPr>
                            <w:t xml:space="preserve"> </w:t>
                          </w:r>
                          <w:r>
                            <w:rPr>
                              <w:rFonts w:eastAsia="Arial" w:cs="Arial"/>
                              <w:color w:val="B80B4D"/>
                              <w:spacing w:val="-1"/>
                              <w:w w:val="93"/>
                              <w:sz w:val="16"/>
                              <w:szCs w:val="16"/>
                            </w:rPr>
                            <w:t>Hou</w:t>
                          </w:r>
                          <w:r>
                            <w:rPr>
                              <w:rFonts w:eastAsia="Arial" w:cs="Arial"/>
                              <w:color w:val="B80B4D"/>
                              <w:spacing w:val="1"/>
                              <w:w w:val="93"/>
                              <w:sz w:val="16"/>
                              <w:szCs w:val="16"/>
                            </w:rPr>
                            <w:t>s</w:t>
                          </w:r>
                          <w:r>
                            <w:rPr>
                              <w:rFonts w:eastAsia="Arial" w:cs="Arial"/>
                              <w:color w:val="B80B4D"/>
                              <w:spacing w:val="3"/>
                              <w:sz w:val="16"/>
                              <w:szCs w:val="16"/>
                            </w:rPr>
                            <w:t>i</w:t>
                          </w:r>
                          <w:r>
                            <w:rPr>
                              <w:rFonts w:eastAsia="Arial" w:cs="Arial"/>
                              <w:color w:val="B80B4D"/>
                              <w:spacing w:val="-1"/>
                              <w:w w:val="96"/>
                              <w:sz w:val="16"/>
                              <w:szCs w:val="16"/>
                            </w:rPr>
                            <w:t>n</w:t>
                          </w:r>
                          <w:r>
                            <w:rPr>
                              <w:rFonts w:eastAsia="Arial" w:cs="Arial"/>
                              <w:color w:val="B80B4D"/>
                              <w:w w:val="96"/>
                              <w:sz w:val="16"/>
                              <w:szCs w:val="16"/>
                            </w:rPr>
                            <w:t>g</w:t>
                          </w:r>
                          <w:r>
                            <w:rPr>
                              <w:rFonts w:eastAsia="Arial" w:cs="Arial"/>
                              <w:color w:val="B80B4D"/>
                              <w:spacing w:val="-9"/>
                              <w:sz w:val="16"/>
                              <w:szCs w:val="16"/>
                            </w:rPr>
                            <w:t xml:space="preserve"> </w:t>
                          </w:r>
                          <w:r>
                            <w:rPr>
                              <w:rFonts w:eastAsia="Arial" w:cs="Arial"/>
                              <w:color w:val="B80B4D"/>
                              <w:spacing w:val="-1"/>
                              <w:w w:val="96"/>
                              <w:sz w:val="16"/>
                              <w:szCs w:val="16"/>
                            </w:rPr>
                            <w:t>an</w:t>
                          </w:r>
                          <w:r>
                            <w:rPr>
                              <w:rFonts w:eastAsia="Arial" w:cs="Arial"/>
                              <w:color w:val="B80B4D"/>
                              <w:w w:val="96"/>
                              <w:sz w:val="16"/>
                              <w:szCs w:val="16"/>
                            </w:rPr>
                            <w:t>d</w:t>
                          </w:r>
                          <w:r>
                            <w:rPr>
                              <w:rFonts w:eastAsia="Arial" w:cs="Arial"/>
                              <w:color w:val="B80B4D"/>
                              <w:spacing w:val="-9"/>
                              <w:sz w:val="16"/>
                              <w:szCs w:val="16"/>
                            </w:rPr>
                            <w:t xml:space="preserve"> </w:t>
                          </w:r>
                          <w:r>
                            <w:rPr>
                              <w:rFonts w:eastAsia="Arial" w:cs="Arial"/>
                              <w:color w:val="B80B4D"/>
                              <w:spacing w:val="-2"/>
                              <w:w w:val="81"/>
                              <w:sz w:val="16"/>
                              <w:szCs w:val="16"/>
                            </w:rPr>
                            <w:t>P</w:t>
                          </w:r>
                          <w:r>
                            <w:rPr>
                              <w:rFonts w:eastAsia="Arial" w:cs="Arial"/>
                              <w:color w:val="B80B4D"/>
                              <w:w w:val="97"/>
                              <w:sz w:val="16"/>
                              <w:szCs w:val="16"/>
                            </w:rPr>
                            <w:t>u</w:t>
                          </w:r>
                          <w:r>
                            <w:rPr>
                              <w:rFonts w:eastAsia="Arial" w:cs="Arial"/>
                              <w:color w:val="B80B4D"/>
                              <w:spacing w:val="1"/>
                              <w:sz w:val="16"/>
                              <w:szCs w:val="16"/>
                            </w:rPr>
                            <w:t>b</w:t>
                          </w:r>
                          <w:r>
                            <w:rPr>
                              <w:rFonts w:eastAsia="Arial" w:cs="Arial"/>
                              <w:color w:val="B80B4D"/>
                              <w:spacing w:val="3"/>
                              <w:sz w:val="16"/>
                              <w:szCs w:val="16"/>
                            </w:rPr>
                            <w:t>l</w:t>
                          </w:r>
                          <w:r>
                            <w:rPr>
                              <w:rFonts w:eastAsia="Arial" w:cs="Arial"/>
                              <w:color w:val="B80B4D"/>
                              <w:spacing w:val="6"/>
                              <w:sz w:val="16"/>
                              <w:szCs w:val="16"/>
                            </w:rPr>
                            <w:t>i</w:t>
                          </w:r>
                          <w:r>
                            <w:rPr>
                              <w:rFonts w:eastAsia="Arial" w:cs="Arial"/>
                              <w:color w:val="B80B4D"/>
                              <w:w w:val="90"/>
                              <w:sz w:val="16"/>
                              <w:szCs w:val="16"/>
                            </w:rPr>
                            <w:t>c</w:t>
                          </w:r>
                          <w:r>
                            <w:rPr>
                              <w:rFonts w:eastAsia="Arial" w:cs="Arial"/>
                              <w:color w:val="B80B4D"/>
                              <w:spacing w:val="-12"/>
                              <w:sz w:val="16"/>
                              <w:szCs w:val="16"/>
                            </w:rPr>
                            <w:t xml:space="preserve"> </w:t>
                          </w:r>
                          <w:r>
                            <w:rPr>
                              <w:rFonts w:eastAsia="Arial" w:cs="Arial"/>
                              <w:color w:val="B80B4D"/>
                              <w:spacing w:val="-5"/>
                              <w:w w:val="85"/>
                              <w:sz w:val="16"/>
                              <w:szCs w:val="16"/>
                            </w:rPr>
                            <w:t>W</w:t>
                          </w:r>
                          <w:r>
                            <w:rPr>
                              <w:rFonts w:eastAsia="Arial" w:cs="Arial"/>
                              <w:color w:val="B80B4D"/>
                              <w:spacing w:val="-1"/>
                              <w:w w:val="98"/>
                              <w:sz w:val="16"/>
                              <w:szCs w:val="16"/>
                            </w:rPr>
                            <w:t>or</w:t>
                          </w:r>
                          <w:r>
                            <w:rPr>
                              <w:rFonts w:eastAsia="Arial" w:cs="Arial"/>
                              <w:color w:val="B80B4D"/>
                              <w:w w:val="98"/>
                              <w:sz w:val="16"/>
                              <w:szCs w:val="16"/>
                            </w:rPr>
                            <w:t>k</w:t>
                          </w:r>
                          <w:r>
                            <w:rPr>
                              <w:rFonts w:eastAsia="Arial" w:cs="Arial"/>
                              <w:color w:val="B80B4D"/>
                              <w:w w:val="94"/>
                              <w:sz w:val="16"/>
                              <w:szCs w:val="16"/>
                            </w:rPr>
                            <w:t>s</w:t>
                          </w:r>
                          <w:r>
                            <w:rPr>
                              <w:rFonts w:eastAsia="Arial" w:cs="Arial"/>
                              <w:color w:val="B80B4D"/>
                              <w:spacing w:val="-11"/>
                              <w:sz w:val="16"/>
                              <w:szCs w:val="16"/>
                            </w:rPr>
                            <w:t xml:space="preserve"> </w:t>
                          </w:r>
                          <w:r>
                            <w:rPr>
                              <w:rFonts w:eastAsia="Arial" w:cs="Arial"/>
                              <w:color w:val="B80B4D"/>
                              <w:spacing w:val="-1"/>
                              <w:w w:val="93"/>
                              <w:sz w:val="16"/>
                              <w:szCs w:val="16"/>
                            </w:rPr>
                            <w:t>Annu</w:t>
                          </w:r>
                          <w:r>
                            <w:rPr>
                              <w:rFonts w:eastAsia="Arial" w:cs="Arial"/>
                              <w:color w:val="B80B4D"/>
                              <w:spacing w:val="3"/>
                              <w:w w:val="93"/>
                              <w:sz w:val="16"/>
                              <w:szCs w:val="16"/>
                            </w:rPr>
                            <w:t>a</w:t>
                          </w:r>
                          <w:r>
                            <w:rPr>
                              <w:rFonts w:eastAsia="Arial" w:cs="Arial"/>
                              <w:color w:val="B80B4D"/>
                              <w:sz w:val="16"/>
                              <w:szCs w:val="16"/>
                            </w:rPr>
                            <w:t>l</w:t>
                          </w:r>
                          <w:r>
                            <w:rPr>
                              <w:rFonts w:eastAsia="Arial" w:cs="Arial"/>
                              <w:color w:val="B80B4D"/>
                              <w:spacing w:val="-7"/>
                              <w:sz w:val="16"/>
                              <w:szCs w:val="16"/>
                            </w:rPr>
                            <w:t xml:space="preserve"> </w:t>
                          </w:r>
                          <w:r>
                            <w:rPr>
                              <w:rFonts w:eastAsia="Arial" w:cs="Arial"/>
                              <w:color w:val="B80B4D"/>
                              <w:spacing w:val="-2"/>
                              <w:w w:val="77"/>
                              <w:sz w:val="16"/>
                              <w:szCs w:val="16"/>
                            </w:rPr>
                            <w:t>R</w:t>
                          </w:r>
                          <w:r>
                            <w:rPr>
                              <w:rFonts w:eastAsia="Arial" w:cs="Arial"/>
                              <w:color w:val="B80B4D"/>
                              <w:spacing w:val="-1"/>
                              <w:w w:val="96"/>
                              <w:sz w:val="16"/>
                              <w:szCs w:val="16"/>
                            </w:rPr>
                            <w:t>epo</w:t>
                          </w:r>
                          <w:r>
                            <w:rPr>
                              <w:rFonts w:eastAsia="Arial" w:cs="Arial"/>
                              <w:color w:val="B80B4D"/>
                              <w:spacing w:val="6"/>
                              <w:w w:val="96"/>
                              <w:sz w:val="16"/>
                              <w:szCs w:val="16"/>
                            </w:rPr>
                            <w:t>r</w:t>
                          </w:r>
                          <w:r>
                            <w:rPr>
                              <w:rFonts w:eastAsia="Arial" w:cs="Arial"/>
                              <w:color w:val="B80B4D"/>
                              <w:sz w:val="16"/>
                              <w:szCs w:val="16"/>
                            </w:rPr>
                            <w:t>t</w:t>
                          </w:r>
                          <w:r>
                            <w:rPr>
                              <w:rFonts w:eastAsia="Arial" w:cs="Arial"/>
                              <w:color w:val="B80B4D"/>
                              <w:spacing w:val="-7"/>
                              <w:sz w:val="16"/>
                              <w:szCs w:val="16"/>
                            </w:rPr>
                            <w:t xml:space="preserve"> </w:t>
                          </w:r>
                          <w:r>
                            <w:rPr>
                              <w:rFonts w:eastAsia="Arial" w:cs="Arial"/>
                              <w:color w:val="B80B4D"/>
                              <w:sz w:val="16"/>
                              <w:szCs w:val="16"/>
                            </w:rPr>
                            <w:t>2016</w:t>
                          </w:r>
                          <w:r>
                            <w:rPr>
                              <w:rFonts w:eastAsia="Arial" w:cs="Arial"/>
                              <w:color w:val="B80B4D"/>
                              <w:spacing w:val="1"/>
                              <w:sz w:val="16"/>
                              <w:szCs w:val="16"/>
                            </w:rPr>
                            <w:t>–</w:t>
                          </w:r>
                          <w:r>
                            <w:rPr>
                              <w:rFonts w:eastAsia="Arial" w:cs="Arial"/>
                              <w:color w:val="B80B4D"/>
                              <w:sz w:val="16"/>
                              <w:szCs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7628F" id="_x0000_t202" coordsize="21600,21600" o:spt="202" path="m,l,21600r21600,l21600,xe">
              <v:stroke joinstyle="miter"/>
              <v:path gradientshapeok="t" o:connecttype="rect"/>
            </v:shapetype>
            <v:shape id="Text Box 25" o:spid="_x0000_s1028" type="#_x0000_t202" style="position:absolute;margin-left:41.5pt;margin-top:801.7pt;width:243.95pt;height:10pt;z-index:-2516561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" filled="f" stroked="f">
              <v:textbox inset="0,0,0,0">
                <w:txbxContent>
                  <w:p w14:paraId="6CA7DCF9" w14:textId="77777777" w:rsidR="00455FE3" w:rsidRDefault="00455FE3">
                    <w:pPr>
                      <w:spacing w:line="184" w:lineRule="exact"/>
                      <w:ind w:left="20"/>
                      <w:rPr>
                        <w:rFonts w:eastAsia="Arial" w:cs="Arial"/>
                        <w:sz w:val="16"/>
                        <w:szCs w:val="16"/>
                      </w:rPr>
                    </w:pPr>
                    <w:r>
                      <w:rPr>
                        <w:rFonts w:eastAsia="Arial" w:cs="Arial"/>
                        <w:color w:val="FFFFFF"/>
                        <w:spacing w:val="13"/>
                        <w:w w:val="80"/>
                        <w:sz w:val="16"/>
                        <w:szCs w:val="16"/>
                        <w:shd w:val="clear" w:color="auto" w:fill="B80B4D"/>
                      </w:rPr>
                      <w:t xml:space="preserve"> </w:t>
                    </w:r>
                    <w:r>
                      <w:fldChar w:fldCharType="begin"/>
                    </w:r>
                    <w:r>
                      <w:rPr>
                        <w:rFonts w:eastAsia="Arial" w:cs="Arial"/>
                        <w:color w:val="FFFFFF"/>
                        <w:sz w:val="16"/>
                        <w:szCs w:val="16"/>
                        <w:shd w:val="clear" w:color="auto" w:fill="B80B4D"/>
                      </w:rPr>
                      <w:instrText xml:space="preserve"> PAGE </w:instrText>
                    </w:r>
                    <w:r>
                      <w:fldChar w:fldCharType="separate"/>
                    </w:r>
                    <w:r>
                      <w:rPr>
                        <w:rFonts w:eastAsia="Arial" w:cs="Arial"/>
                        <w:noProof/>
                        <w:color w:val="FFFFFF"/>
                        <w:sz w:val="16"/>
                        <w:szCs w:val="16"/>
                        <w:shd w:val="clear" w:color="auto" w:fill="B80B4D"/>
                      </w:rPr>
                      <w:t>4</w:t>
                    </w:r>
                    <w:r>
                      <w:fldChar w:fldCharType="end"/>
                    </w:r>
                    <w:r>
                      <w:rPr>
                        <w:rFonts w:eastAsia="Arial" w:cs="Arial"/>
                        <w:color w:val="FFFFFF"/>
                        <w:w w:val="80"/>
                        <w:sz w:val="16"/>
                        <w:szCs w:val="16"/>
                        <w:shd w:val="clear" w:color="auto" w:fill="B80B4D"/>
                      </w:rPr>
                      <w:t xml:space="preserve"> </w:t>
                    </w:r>
                    <w:r>
                      <w:rPr>
                        <w:rFonts w:eastAsia="Arial" w:cs="Arial"/>
                        <w:color w:val="FFFFFF"/>
                        <w:sz w:val="16"/>
                        <w:szCs w:val="16"/>
                      </w:rPr>
                      <w:t xml:space="preserve">  </w:t>
                    </w:r>
                    <w:r>
                      <w:rPr>
                        <w:rFonts w:eastAsia="Arial" w:cs="Arial"/>
                        <w:color w:val="FFFFFF"/>
                        <w:spacing w:val="-4"/>
                        <w:sz w:val="16"/>
                        <w:szCs w:val="16"/>
                      </w:rPr>
                      <w:t xml:space="preserve"> </w:t>
                    </w:r>
                    <w:r>
                      <w:rPr>
                        <w:rFonts w:eastAsia="Arial" w:cs="Arial"/>
                        <w:color w:val="B80B4D"/>
                        <w:spacing w:val="-1"/>
                        <w:w w:val="92"/>
                        <w:sz w:val="16"/>
                        <w:szCs w:val="16"/>
                      </w:rPr>
                      <w:t>Depa</w:t>
                    </w:r>
                    <w:r>
                      <w:rPr>
                        <w:rFonts w:eastAsia="Arial" w:cs="Arial"/>
                        <w:color w:val="B80B4D"/>
                        <w:spacing w:val="6"/>
                        <w:w w:val="92"/>
                        <w:sz w:val="16"/>
                        <w:szCs w:val="16"/>
                      </w:rPr>
                      <w:t>r</w:t>
                    </w:r>
                    <w:r>
                      <w:rPr>
                        <w:rFonts w:eastAsia="Arial" w:cs="Arial"/>
                        <w:color w:val="B80B4D"/>
                        <w:spacing w:val="3"/>
                        <w:sz w:val="16"/>
                        <w:szCs w:val="16"/>
                      </w:rPr>
                      <w:t>t</w:t>
                    </w:r>
                    <w:r>
                      <w:rPr>
                        <w:rFonts w:eastAsia="Arial" w:cs="Arial"/>
                        <w:color w:val="B80B4D"/>
                        <w:spacing w:val="-1"/>
                        <w:w w:val="94"/>
                        <w:sz w:val="16"/>
                        <w:szCs w:val="16"/>
                      </w:rPr>
                      <w:t>me</w:t>
                    </w:r>
                    <w:r>
                      <w:rPr>
                        <w:rFonts w:eastAsia="Arial" w:cs="Arial"/>
                        <w:color w:val="B80B4D"/>
                        <w:spacing w:val="3"/>
                        <w:w w:val="94"/>
                        <w:sz w:val="16"/>
                        <w:szCs w:val="16"/>
                      </w:rPr>
                      <w:t>n</w:t>
                    </w:r>
                    <w:r>
                      <w:rPr>
                        <w:rFonts w:eastAsia="Arial" w:cs="Arial"/>
                        <w:color w:val="B80B4D"/>
                        <w:sz w:val="16"/>
                        <w:szCs w:val="16"/>
                      </w:rPr>
                      <w:t>t</w:t>
                    </w:r>
                    <w:r>
                      <w:rPr>
                        <w:rFonts w:eastAsia="Arial" w:cs="Arial"/>
                        <w:color w:val="B80B4D"/>
                        <w:spacing w:val="-7"/>
                        <w:sz w:val="16"/>
                        <w:szCs w:val="16"/>
                      </w:rPr>
                      <w:t xml:space="preserve"> </w:t>
                    </w:r>
                    <w:r>
                      <w:rPr>
                        <w:rFonts w:eastAsia="Arial" w:cs="Arial"/>
                        <w:color w:val="B80B4D"/>
                        <w:spacing w:val="1"/>
                        <w:w w:val="96"/>
                        <w:sz w:val="16"/>
                        <w:szCs w:val="16"/>
                      </w:rPr>
                      <w:t>o</w:t>
                    </w:r>
                    <w:r>
                      <w:rPr>
                        <w:rFonts w:eastAsia="Arial" w:cs="Arial"/>
                        <w:color w:val="B80B4D"/>
                        <w:sz w:val="16"/>
                        <w:szCs w:val="16"/>
                      </w:rPr>
                      <w:t>f</w:t>
                    </w:r>
                    <w:r>
                      <w:rPr>
                        <w:rFonts w:eastAsia="Arial" w:cs="Arial"/>
                        <w:color w:val="B80B4D"/>
                        <w:spacing w:val="-9"/>
                        <w:sz w:val="16"/>
                        <w:szCs w:val="16"/>
                      </w:rPr>
                      <w:t xml:space="preserve"> </w:t>
                    </w:r>
                    <w:r>
                      <w:rPr>
                        <w:rFonts w:eastAsia="Arial" w:cs="Arial"/>
                        <w:color w:val="B80B4D"/>
                        <w:spacing w:val="-1"/>
                        <w:w w:val="93"/>
                        <w:sz w:val="16"/>
                        <w:szCs w:val="16"/>
                      </w:rPr>
                      <w:t>Hou</w:t>
                    </w:r>
                    <w:r>
                      <w:rPr>
                        <w:rFonts w:eastAsia="Arial" w:cs="Arial"/>
                        <w:color w:val="B80B4D"/>
                        <w:spacing w:val="1"/>
                        <w:w w:val="93"/>
                        <w:sz w:val="16"/>
                        <w:szCs w:val="16"/>
                      </w:rPr>
                      <w:t>s</w:t>
                    </w:r>
                    <w:r>
                      <w:rPr>
                        <w:rFonts w:eastAsia="Arial" w:cs="Arial"/>
                        <w:color w:val="B80B4D"/>
                        <w:spacing w:val="3"/>
                        <w:sz w:val="16"/>
                        <w:szCs w:val="16"/>
                      </w:rPr>
                      <w:t>i</w:t>
                    </w:r>
                    <w:r>
                      <w:rPr>
                        <w:rFonts w:eastAsia="Arial" w:cs="Arial"/>
                        <w:color w:val="B80B4D"/>
                        <w:spacing w:val="-1"/>
                        <w:w w:val="96"/>
                        <w:sz w:val="16"/>
                        <w:szCs w:val="16"/>
                      </w:rPr>
                      <w:t>n</w:t>
                    </w:r>
                    <w:r>
                      <w:rPr>
                        <w:rFonts w:eastAsia="Arial" w:cs="Arial"/>
                        <w:color w:val="B80B4D"/>
                        <w:w w:val="96"/>
                        <w:sz w:val="16"/>
                        <w:szCs w:val="16"/>
                      </w:rPr>
                      <w:t>g</w:t>
                    </w:r>
                    <w:r>
                      <w:rPr>
                        <w:rFonts w:eastAsia="Arial" w:cs="Arial"/>
                        <w:color w:val="B80B4D"/>
                        <w:spacing w:val="-9"/>
                        <w:sz w:val="16"/>
                        <w:szCs w:val="16"/>
                      </w:rPr>
                      <w:t xml:space="preserve"> </w:t>
                    </w:r>
                    <w:r>
                      <w:rPr>
                        <w:rFonts w:eastAsia="Arial" w:cs="Arial"/>
                        <w:color w:val="B80B4D"/>
                        <w:spacing w:val="-1"/>
                        <w:w w:val="96"/>
                        <w:sz w:val="16"/>
                        <w:szCs w:val="16"/>
                      </w:rPr>
                      <w:t>an</w:t>
                    </w:r>
                    <w:r>
                      <w:rPr>
                        <w:rFonts w:eastAsia="Arial" w:cs="Arial"/>
                        <w:color w:val="B80B4D"/>
                        <w:w w:val="96"/>
                        <w:sz w:val="16"/>
                        <w:szCs w:val="16"/>
                      </w:rPr>
                      <w:t>d</w:t>
                    </w:r>
                    <w:r>
                      <w:rPr>
                        <w:rFonts w:eastAsia="Arial" w:cs="Arial"/>
                        <w:color w:val="B80B4D"/>
                        <w:spacing w:val="-9"/>
                        <w:sz w:val="16"/>
                        <w:szCs w:val="16"/>
                      </w:rPr>
                      <w:t xml:space="preserve"> </w:t>
                    </w:r>
                    <w:r>
                      <w:rPr>
                        <w:rFonts w:eastAsia="Arial" w:cs="Arial"/>
                        <w:color w:val="B80B4D"/>
                        <w:spacing w:val="-2"/>
                        <w:w w:val="81"/>
                        <w:sz w:val="16"/>
                        <w:szCs w:val="16"/>
                      </w:rPr>
                      <w:t>P</w:t>
                    </w:r>
                    <w:r>
                      <w:rPr>
                        <w:rFonts w:eastAsia="Arial" w:cs="Arial"/>
                        <w:color w:val="B80B4D"/>
                        <w:w w:val="97"/>
                        <w:sz w:val="16"/>
                        <w:szCs w:val="16"/>
                      </w:rPr>
                      <w:t>u</w:t>
                    </w:r>
                    <w:r>
                      <w:rPr>
                        <w:rFonts w:eastAsia="Arial" w:cs="Arial"/>
                        <w:color w:val="B80B4D"/>
                        <w:spacing w:val="1"/>
                        <w:sz w:val="16"/>
                        <w:szCs w:val="16"/>
                      </w:rPr>
                      <w:t>b</w:t>
                    </w:r>
                    <w:r>
                      <w:rPr>
                        <w:rFonts w:eastAsia="Arial" w:cs="Arial"/>
                        <w:color w:val="B80B4D"/>
                        <w:spacing w:val="3"/>
                        <w:sz w:val="16"/>
                        <w:szCs w:val="16"/>
                      </w:rPr>
                      <w:t>l</w:t>
                    </w:r>
                    <w:r>
                      <w:rPr>
                        <w:rFonts w:eastAsia="Arial" w:cs="Arial"/>
                        <w:color w:val="B80B4D"/>
                        <w:spacing w:val="6"/>
                        <w:sz w:val="16"/>
                        <w:szCs w:val="16"/>
                      </w:rPr>
                      <w:t>i</w:t>
                    </w:r>
                    <w:r>
                      <w:rPr>
                        <w:rFonts w:eastAsia="Arial" w:cs="Arial"/>
                        <w:color w:val="B80B4D"/>
                        <w:w w:val="90"/>
                        <w:sz w:val="16"/>
                        <w:szCs w:val="16"/>
                      </w:rPr>
                      <w:t>c</w:t>
                    </w:r>
                    <w:r>
                      <w:rPr>
                        <w:rFonts w:eastAsia="Arial" w:cs="Arial"/>
                        <w:color w:val="B80B4D"/>
                        <w:spacing w:val="-12"/>
                        <w:sz w:val="16"/>
                        <w:szCs w:val="16"/>
                      </w:rPr>
                      <w:t xml:space="preserve"> </w:t>
                    </w:r>
                    <w:r>
                      <w:rPr>
                        <w:rFonts w:eastAsia="Arial" w:cs="Arial"/>
                        <w:color w:val="B80B4D"/>
                        <w:spacing w:val="-5"/>
                        <w:w w:val="85"/>
                        <w:sz w:val="16"/>
                        <w:szCs w:val="16"/>
                      </w:rPr>
                      <w:t>W</w:t>
                    </w:r>
                    <w:r>
                      <w:rPr>
                        <w:rFonts w:eastAsia="Arial" w:cs="Arial"/>
                        <w:color w:val="B80B4D"/>
                        <w:spacing w:val="-1"/>
                        <w:w w:val="98"/>
                        <w:sz w:val="16"/>
                        <w:szCs w:val="16"/>
                      </w:rPr>
                      <w:t>or</w:t>
                    </w:r>
                    <w:r>
                      <w:rPr>
                        <w:rFonts w:eastAsia="Arial" w:cs="Arial"/>
                        <w:color w:val="B80B4D"/>
                        <w:w w:val="98"/>
                        <w:sz w:val="16"/>
                        <w:szCs w:val="16"/>
                      </w:rPr>
                      <w:t>k</w:t>
                    </w:r>
                    <w:r>
                      <w:rPr>
                        <w:rFonts w:eastAsia="Arial" w:cs="Arial"/>
                        <w:color w:val="B80B4D"/>
                        <w:w w:val="94"/>
                        <w:sz w:val="16"/>
                        <w:szCs w:val="16"/>
                      </w:rPr>
                      <w:t>s</w:t>
                    </w:r>
                    <w:r>
                      <w:rPr>
                        <w:rFonts w:eastAsia="Arial" w:cs="Arial"/>
                        <w:color w:val="B80B4D"/>
                        <w:spacing w:val="-11"/>
                        <w:sz w:val="16"/>
                        <w:szCs w:val="16"/>
                      </w:rPr>
                      <w:t xml:space="preserve"> </w:t>
                    </w:r>
                    <w:r>
                      <w:rPr>
                        <w:rFonts w:eastAsia="Arial" w:cs="Arial"/>
                        <w:color w:val="B80B4D"/>
                        <w:spacing w:val="-1"/>
                        <w:w w:val="93"/>
                        <w:sz w:val="16"/>
                        <w:szCs w:val="16"/>
                      </w:rPr>
                      <w:t>Annu</w:t>
                    </w:r>
                    <w:r>
                      <w:rPr>
                        <w:rFonts w:eastAsia="Arial" w:cs="Arial"/>
                        <w:color w:val="B80B4D"/>
                        <w:spacing w:val="3"/>
                        <w:w w:val="93"/>
                        <w:sz w:val="16"/>
                        <w:szCs w:val="16"/>
                      </w:rPr>
                      <w:t>a</w:t>
                    </w:r>
                    <w:r>
                      <w:rPr>
                        <w:rFonts w:eastAsia="Arial" w:cs="Arial"/>
                        <w:color w:val="B80B4D"/>
                        <w:sz w:val="16"/>
                        <w:szCs w:val="16"/>
                      </w:rPr>
                      <w:t>l</w:t>
                    </w:r>
                    <w:r>
                      <w:rPr>
                        <w:rFonts w:eastAsia="Arial" w:cs="Arial"/>
                        <w:color w:val="B80B4D"/>
                        <w:spacing w:val="-7"/>
                        <w:sz w:val="16"/>
                        <w:szCs w:val="16"/>
                      </w:rPr>
                      <w:t xml:space="preserve"> </w:t>
                    </w:r>
                    <w:r>
                      <w:rPr>
                        <w:rFonts w:eastAsia="Arial" w:cs="Arial"/>
                        <w:color w:val="B80B4D"/>
                        <w:spacing w:val="-2"/>
                        <w:w w:val="77"/>
                        <w:sz w:val="16"/>
                        <w:szCs w:val="16"/>
                      </w:rPr>
                      <w:t>R</w:t>
                    </w:r>
                    <w:r>
                      <w:rPr>
                        <w:rFonts w:eastAsia="Arial" w:cs="Arial"/>
                        <w:color w:val="B80B4D"/>
                        <w:spacing w:val="-1"/>
                        <w:w w:val="96"/>
                        <w:sz w:val="16"/>
                        <w:szCs w:val="16"/>
                      </w:rPr>
                      <w:t>epo</w:t>
                    </w:r>
                    <w:r>
                      <w:rPr>
                        <w:rFonts w:eastAsia="Arial" w:cs="Arial"/>
                        <w:color w:val="B80B4D"/>
                        <w:spacing w:val="6"/>
                        <w:w w:val="96"/>
                        <w:sz w:val="16"/>
                        <w:szCs w:val="16"/>
                      </w:rPr>
                      <w:t>r</w:t>
                    </w:r>
                    <w:r>
                      <w:rPr>
                        <w:rFonts w:eastAsia="Arial" w:cs="Arial"/>
                        <w:color w:val="B80B4D"/>
                        <w:sz w:val="16"/>
                        <w:szCs w:val="16"/>
                      </w:rPr>
                      <w:t>t</w:t>
                    </w:r>
                    <w:r>
                      <w:rPr>
                        <w:rFonts w:eastAsia="Arial" w:cs="Arial"/>
                        <w:color w:val="B80B4D"/>
                        <w:spacing w:val="-7"/>
                        <w:sz w:val="16"/>
                        <w:szCs w:val="16"/>
                      </w:rPr>
                      <w:t xml:space="preserve"> </w:t>
                    </w:r>
                    <w:r>
                      <w:rPr>
                        <w:rFonts w:eastAsia="Arial" w:cs="Arial"/>
                        <w:color w:val="B80B4D"/>
                        <w:sz w:val="16"/>
                        <w:szCs w:val="16"/>
                      </w:rPr>
                      <w:t>2016</w:t>
                    </w:r>
                    <w:r>
                      <w:rPr>
                        <w:rFonts w:eastAsia="Arial" w:cs="Arial"/>
                        <w:color w:val="B80B4D"/>
                        <w:spacing w:val="1"/>
                        <w:sz w:val="16"/>
                        <w:szCs w:val="16"/>
                      </w:rPr>
                      <w:t>–</w:t>
                    </w:r>
                    <w:r>
                      <w:rPr>
                        <w:rFonts w:eastAsia="Arial" w:cs="Arial"/>
                        <w:color w:val="B80B4D"/>
                        <w:sz w:val="16"/>
                        <w:szCs w:val="16"/>
                      </w:rPr>
                      <w:t>17</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29B65" w14:textId="3A33BC77" w:rsidR="00455FE3" w:rsidRDefault="00455FE3">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4060F" w14:textId="77777777" w:rsidR="00455FE3" w:rsidRDefault="00455FE3" w:rsidP="00CF0A4C">
      <w:r>
        <w:separator/>
      </w:r>
    </w:p>
  </w:footnote>
  <w:footnote w:type="continuationSeparator" w:id="0">
    <w:p w14:paraId="66977234" w14:textId="77777777" w:rsidR="00455FE3" w:rsidRDefault="00455FE3" w:rsidP="00CF0A4C">
      <w:r>
        <w:continuationSeparator/>
      </w:r>
    </w:p>
  </w:footnote>
  <w:footnote w:type="continuationNotice" w:id="1">
    <w:p w14:paraId="6EA80FDC" w14:textId="77777777" w:rsidR="00455FE3" w:rsidRDefault="00455FE3" w:rsidP="00CF0A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2BADA" w14:textId="6F9F75F3" w:rsidR="00455FE3" w:rsidRDefault="00455FE3" w:rsidP="00CF0A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6E16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71FF7"/>
    <w:multiLevelType w:val="hybridMultilevel"/>
    <w:tmpl w:val="886633FA"/>
    <w:lvl w:ilvl="0" w:tplc="01C66AFA">
      <w:start w:val="1"/>
      <w:numFmt w:val="bullet"/>
      <w:lvlText w:val=""/>
      <w:lvlJc w:val="left"/>
      <w:pPr>
        <w:ind w:left="381"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C7896"/>
    <w:multiLevelType w:val="multilevel"/>
    <w:tmpl w:val="DBA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12D14"/>
    <w:multiLevelType w:val="hybridMultilevel"/>
    <w:tmpl w:val="10DC3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AD1A60"/>
    <w:multiLevelType w:val="multilevel"/>
    <w:tmpl w:val="F3E2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B121A"/>
    <w:multiLevelType w:val="multilevel"/>
    <w:tmpl w:val="63A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707DAD"/>
    <w:multiLevelType w:val="hybridMultilevel"/>
    <w:tmpl w:val="350EC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E39D6"/>
    <w:multiLevelType w:val="hybridMultilevel"/>
    <w:tmpl w:val="0DBA0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CE12C68"/>
    <w:multiLevelType w:val="hybridMultilevel"/>
    <w:tmpl w:val="AF920A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5317DB"/>
    <w:multiLevelType w:val="hybridMultilevel"/>
    <w:tmpl w:val="723612C2"/>
    <w:lvl w:ilvl="0" w:tplc="F46C6126">
      <w:numFmt w:val="bullet"/>
      <w:lvlText w:val=""/>
      <w:lvlJc w:val="left"/>
      <w:pPr>
        <w:ind w:left="360" w:hanging="360"/>
      </w:pPr>
      <w:rPr>
        <w:rFonts w:ascii="Symbol" w:eastAsiaTheme="minorHAnsi"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DD7C67"/>
    <w:multiLevelType w:val="hybridMultilevel"/>
    <w:tmpl w:val="84A4F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BA10BD"/>
    <w:multiLevelType w:val="hybridMultilevel"/>
    <w:tmpl w:val="CBCE1AE4"/>
    <w:lvl w:ilvl="0" w:tplc="2F7E6306">
      <w:start w:val="1"/>
      <w:numFmt w:val="bullet"/>
      <w:pStyle w:val="ARsub-bullets"/>
      <w:lvlText w:val="-"/>
      <w:lvlJc w:val="left"/>
      <w:pPr>
        <w:ind w:left="717" w:hanging="360"/>
      </w:pPr>
      <w:rPr>
        <w:rFonts w:ascii="Courier New" w:hAnsi="Courier New"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319965FD"/>
    <w:multiLevelType w:val="multilevel"/>
    <w:tmpl w:val="F22E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F0D59"/>
    <w:multiLevelType w:val="hybridMultilevel"/>
    <w:tmpl w:val="EAC65AA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B607FF"/>
    <w:multiLevelType w:val="hybridMultilevel"/>
    <w:tmpl w:val="CDAAA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15473E"/>
    <w:multiLevelType w:val="hybridMultilevel"/>
    <w:tmpl w:val="CB121ED8"/>
    <w:lvl w:ilvl="0" w:tplc="60AAE336">
      <w:start w:val="1"/>
      <w:numFmt w:val="bullet"/>
      <w:lvlText w:val=""/>
      <w:lvlJc w:val="left"/>
      <w:pPr>
        <w:tabs>
          <w:tab w:val="num" w:pos="360"/>
        </w:tabs>
        <w:ind w:left="360" w:hanging="360"/>
      </w:pPr>
      <w:rPr>
        <w:rFonts w:ascii="Symbol" w:hAnsi="Symbol" w:hint="default"/>
        <w:sz w:val="22"/>
      </w:rPr>
    </w:lvl>
    <w:lvl w:ilvl="1" w:tplc="0C090003">
      <w:start w:val="1"/>
      <w:numFmt w:val="bullet"/>
      <w:lvlText w:val="o"/>
      <w:lvlJc w:val="left"/>
      <w:pPr>
        <w:tabs>
          <w:tab w:val="num" w:pos="700"/>
        </w:tabs>
        <w:ind w:left="700" w:hanging="340"/>
      </w:pPr>
      <w:rPr>
        <w:rFonts w:ascii="Courier New" w:hAnsi="Courier New" w:cs="Courier New" w:hint="default"/>
        <w:color w:val="auto"/>
        <w:sz w:val="20"/>
        <w:szCs w:val="20"/>
      </w:rPr>
    </w:lvl>
    <w:lvl w:ilvl="2" w:tplc="0C09001B">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6" w15:restartNumberingAfterBreak="0">
    <w:nsid w:val="3FEF07BC"/>
    <w:multiLevelType w:val="multilevel"/>
    <w:tmpl w:val="B640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E7977"/>
    <w:multiLevelType w:val="multilevel"/>
    <w:tmpl w:val="5E0E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4E422A"/>
    <w:multiLevelType w:val="multilevel"/>
    <w:tmpl w:val="182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67EE1"/>
    <w:multiLevelType w:val="hybridMultilevel"/>
    <w:tmpl w:val="CCFEB8D8"/>
    <w:lvl w:ilvl="0" w:tplc="C80C2FDA">
      <w:start w:val="1"/>
      <w:numFmt w:val="bullet"/>
      <w:pStyle w:val="Bullets"/>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20" w15:restartNumberingAfterBreak="0">
    <w:nsid w:val="50A05758"/>
    <w:multiLevelType w:val="hybridMultilevel"/>
    <w:tmpl w:val="AA8437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609A7898">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4D2225"/>
    <w:multiLevelType w:val="multilevel"/>
    <w:tmpl w:val="1E1A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E5B6B"/>
    <w:multiLevelType w:val="multilevel"/>
    <w:tmpl w:val="DD629CAA"/>
    <w:lvl w:ilvl="0">
      <w:start w:val="1"/>
      <w:numFmt w:val="bullet"/>
      <w:lvlText w:val="·"/>
      <w:lvlJc w:val="left"/>
      <w:pPr>
        <w:tabs>
          <w:tab w:val="left" w:pos="288"/>
        </w:tabs>
        <w:ind w:left="720"/>
      </w:pPr>
      <w:rPr>
        <w:rFonts w:ascii="Symbol" w:eastAsia="Symbol" w:hAnsi="Symbol"/>
        <w:strike w:val="0"/>
        <w:color w:val="000000"/>
        <w:spacing w:val="0"/>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722401"/>
    <w:multiLevelType w:val="hybridMultilevel"/>
    <w:tmpl w:val="5C5A716A"/>
    <w:lvl w:ilvl="0" w:tplc="7892DEC2">
      <w:start w:val="1"/>
      <w:numFmt w:val="bullet"/>
      <w:pStyle w:val="GOVBulletPointLevel1"/>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DA388F"/>
    <w:multiLevelType w:val="hybridMultilevel"/>
    <w:tmpl w:val="9794A494"/>
    <w:lvl w:ilvl="0" w:tplc="4AB225EE">
      <w:start w:val="1"/>
      <w:numFmt w:val="bullet"/>
      <w:pStyle w:val="TableListBullet2"/>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821513C"/>
    <w:multiLevelType w:val="multilevel"/>
    <w:tmpl w:val="41D27090"/>
    <w:lvl w:ilvl="0">
      <w:start w:val="1"/>
      <w:numFmt w:val="bullet"/>
      <w:lvlText w:val="·"/>
      <w:lvlJc w:val="left"/>
      <w:pPr>
        <w:tabs>
          <w:tab w:val="left" w:pos="216"/>
        </w:tabs>
        <w:ind w:left="720"/>
      </w:pPr>
      <w:rPr>
        <w:rFonts w:ascii="Symbol" w:eastAsia="Symbol" w:hAnsi="Symbol"/>
        <w:strike w:val="0"/>
        <w:color w:val="000000"/>
        <w:spacing w:val="6"/>
        <w:w w:val="100"/>
        <w:sz w:val="1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B52A5F"/>
    <w:multiLevelType w:val="hybridMultilevel"/>
    <w:tmpl w:val="93164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706925"/>
    <w:multiLevelType w:val="multilevel"/>
    <w:tmpl w:val="F50EAC84"/>
    <w:lvl w:ilvl="0">
      <w:start w:val="1"/>
      <w:numFmt w:val="bullet"/>
      <w:pStyle w:val="EstimatesBullet1"/>
      <w:lvlText w:val=""/>
      <w:lvlJc w:val="left"/>
      <w:pPr>
        <w:tabs>
          <w:tab w:val="num" w:pos="284"/>
        </w:tabs>
        <w:ind w:left="284" w:hanging="284"/>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27"/>
  </w:num>
  <w:num w:numId="3">
    <w:abstractNumId w:val="20"/>
  </w:num>
  <w:num w:numId="4">
    <w:abstractNumId w:val="24"/>
  </w:num>
  <w:num w:numId="5">
    <w:abstractNumId w:val="6"/>
  </w:num>
  <w:num w:numId="6">
    <w:abstractNumId w:val="13"/>
  </w:num>
  <w:num w:numId="7">
    <w:abstractNumId w:val="14"/>
  </w:num>
  <w:num w:numId="8">
    <w:abstractNumId w:val="9"/>
  </w:num>
  <w:num w:numId="9">
    <w:abstractNumId w:val="10"/>
  </w:num>
  <w:num w:numId="10">
    <w:abstractNumId w:val="7"/>
  </w:num>
  <w:num w:numId="11">
    <w:abstractNumId w:val="15"/>
  </w:num>
  <w:num w:numId="12">
    <w:abstractNumId w:val="1"/>
  </w:num>
  <w:num w:numId="13">
    <w:abstractNumId w:val="23"/>
  </w:num>
  <w:num w:numId="14">
    <w:abstractNumId w:val="11"/>
  </w:num>
  <w:num w:numId="15">
    <w:abstractNumId w:val="19"/>
  </w:num>
  <w:num w:numId="16">
    <w:abstractNumId w:val="8"/>
  </w:num>
  <w:num w:numId="17">
    <w:abstractNumId w:val="25"/>
  </w:num>
  <w:num w:numId="18">
    <w:abstractNumId w:val="22"/>
  </w:num>
  <w:num w:numId="19">
    <w:abstractNumId w:val="26"/>
  </w:num>
  <w:num w:numId="20">
    <w:abstractNumId w:val="3"/>
  </w:num>
  <w:num w:numId="21">
    <w:abstractNumId w:val="5"/>
  </w:num>
  <w:num w:numId="22">
    <w:abstractNumId w:val="17"/>
  </w:num>
  <w:num w:numId="23">
    <w:abstractNumId w:val="16"/>
  </w:num>
  <w:num w:numId="24">
    <w:abstractNumId w:val="12"/>
  </w:num>
  <w:num w:numId="25">
    <w:abstractNumId w:val="18"/>
  </w:num>
  <w:num w:numId="26">
    <w:abstractNumId w:val="21"/>
  </w:num>
  <w:num w:numId="27">
    <w:abstractNumId w:val="2"/>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isplayBackgroundShape/>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11"/>
    <w:rsid w:val="00000574"/>
    <w:rsid w:val="000009C6"/>
    <w:rsid w:val="000012BD"/>
    <w:rsid w:val="0000139C"/>
    <w:rsid w:val="00001648"/>
    <w:rsid w:val="00001FF7"/>
    <w:rsid w:val="00002BE7"/>
    <w:rsid w:val="00003742"/>
    <w:rsid w:val="000037F3"/>
    <w:rsid w:val="00003EA4"/>
    <w:rsid w:val="0000519F"/>
    <w:rsid w:val="000055C1"/>
    <w:rsid w:val="0000568C"/>
    <w:rsid w:val="00005A9A"/>
    <w:rsid w:val="00005AE8"/>
    <w:rsid w:val="00005D47"/>
    <w:rsid w:val="000067A3"/>
    <w:rsid w:val="000068E2"/>
    <w:rsid w:val="00006947"/>
    <w:rsid w:val="00006AC7"/>
    <w:rsid w:val="00006EE8"/>
    <w:rsid w:val="000072D8"/>
    <w:rsid w:val="000075A1"/>
    <w:rsid w:val="000075DD"/>
    <w:rsid w:val="00007603"/>
    <w:rsid w:val="000076DA"/>
    <w:rsid w:val="0000782C"/>
    <w:rsid w:val="0000784B"/>
    <w:rsid w:val="00007919"/>
    <w:rsid w:val="00010438"/>
    <w:rsid w:val="000110B1"/>
    <w:rsid w:val="00011488"/>
    <w:rsid w:val="000121E0"/>
    <w:rsid w:val="000123AA"/>
    <w:rsid w:val="00012C8D"/>
    <w:rsid w:val="0001301B"/>
    <w:rsid w:val="000131A6"/>
    <w:rsid w:val="0001328C"/>
    <w:rsid w:val="0001552F"/>
    <w:rsid w:val="00015579"/>
    <w:rsid w:val="00015665"/>
    <w:rsid w:val="00015885"/>
    <w:rsid w:val="00015AE1"/>
    <w:rsid w:val="00015FF7"/>
    <w:rsid w:val="0001715F"/>
    <w:rsid w:val="000174A9"/>
    <w:rsid w:val="0001755E"/>
    <w:rsid w:val="00017902"/>
    <w:rsid w:val="000203A2"/>
    <w:rsid w:val="000206C1"/>
    <w:rsid w:val="000211E2"/>
    <w:rsid w:val="0002257A"/>
    <w:rsid w:val="0002289B"/>
    <w:rsid w:val="00023609"/>
    <w:rsid w:val="00023A6F"/>
    <w:rsid w:val="00023C50"/>
    <w:rsid w:val="00023F6F"/>
    <w:rsid w:val="000243EC"/>
    <w:rsid w:val="000248C2"/>
    <w:rsid w:val="000249A5"/>
    <w:rsid w:val="00024B2A"/>
    <w:rsid w:val="00024C8A"/>
    <w:rsid w:val="00024FCB"/>
    <w:rsid w:val="00025441"/>
    <w:rsid w:val="000254BA"/>
    <w:rsid w:val="00025816"/>
    <w:rsid w:val="00025B08"/>
    <w:rsid w:val="00025FA3"/>
    <w:rsid w:val="00026203"/>
    <w:rsid w:val="0002655A"/>
    <w:rsid w:val="000266FC"/>
    <w:rsid w:val="00026D79"/>
    <w:rsid w:val="00026F31"/>
    <w:rsid w:val="0002719F"/>
    <w:rsid w:val="00027BC8"/>
    <w:rsid w:val="00027CC0"/>
    <w:rsid w:val="00027E26"/>
    <w:rsid w:val="00027E78"/>
    <w:rsid w:val="00030E8D"/>
    <w:rsid w:val="00030F22"/>
    <w:rsid w:val="000316BF"/>
    <w:rsid w:val="000316DE"/>
    <w:rsid w:val="00031FCA"/>
    <w:rsid w:val="00031FFB"/>
    <w:rsid w:val="00032347"/>
    <w:rsid w:val="000323E4"/>
    <w:rsid w:val="000327BD"/>
    <w:rsid w:val="000328FC"/>
    <w:rsid w:val="00032E04"/>
    <w:rsid w:val="000335A5"/>
    <w:rsid w:val="00034FA5"/>
    <w:rsid w:val="0003524C"/>
    <w:rsid w:val="000355A3"/>
    <w:rsid w:val="000362B3"/>
    <w:rsid w:val="00036507"/>
    <w:rsid w:val="00036ACA"/>
    <w:rsid w:val="00037620"/>
    <w:rsid w:val="00037E63"/>
    <w:rsid w:val="00037EF9"/>
    <w:rsid w:val="00037FC8"/>
    <w:rsid w:val="000400ED"/>
    <w:rsid w:val="00040683"/>
    <w:rsid w:val="00040E2E"/>
    <w:rsid w:val="000410EC"/>
    <w:rsid w:val="00041152"/>
    <w:rsid w:val="0004162B"/>
    <w:rsid w:val="00041972"/>
    <w:rsid w:val="00041CA4"/>
    <w:rsid w:val="00041EEC"/>
    <w:rsid w:val="0004270E"/>
    <w:rsid w:val="00042761"/>
    <w:rsid w:val="00042D61"/>
    <w:rsid w:val="00043373"/>
    <w:rsid w:val="000437A6"/>
    <w:rsid w:val="000441DA"/>
    <w:rsid w:val="000444E2"/>
    <w:rsid w:val="000449D7"/>
    <w:rsid w:val="00044D9F"/>
    <w:rsid w:val="000461E2"/>
    <w:rsid w:val="00046470"/>
    <w:rsid w:val="000466D6"/>
    <w:rsid w:val="00046D84"/>
    <w:rsid w:val="000479BF"/>
    <w:rsid w:val="00050143"/>
    <w:rsid w:val="000501E7"/>
    <w:rsid w:val="00050331"/>
    <w:rsid w:val="00050673"/>
    <w:rsid w:val="00050D5D"/>
    <w:rsid w:val="00050FCA"/>
    <w:rsid w:val="00051E48"/>
    <w:rsid w:val="00051EF0"/>
    <w:rsid w:val="00051F78"/>
    <w:rsid w:val="00052D6D"/>
    <w:rsid w:val="00052DB5"/>
    <w:rsid w:val="00053128"/>
    <w:rsid w:val="00054A24"/>
    <w:rsid w:val="00054C59"/>
    <w:rsid w:val="0005529D"/>
    <w:rsid w:val="00055E56"/>
    <w:rsid w:val="00055E76"/>
    <w:rsid w:val="00055F6C"/>
    <w:rsid w:val="00056026"/>
    <w:rsid w:val="0005637F"/>
    <w:rsid w:val="000575D1"/>
    <w:rsid w:val="0005773D"/>
    <w:rsid w:val="00060243"/>
    <w:rsid w:val="00060AF9"/>
    <w:rsid w:val="00060EFD"/>
    <w:rsid w:val="00061180"/>
    <w:rsid w:val="00061510"/>
    <w:rsid w:val="00061D99"/>
    <w:rsid w:val="00061ECE"/>
    <w:rsid w:val="00061F00"/>
    <w:rsid w:val="00061F0F"/>
    <w:rsid w:val="000623A2"/>
    <w:rsid w:val="000625E9"/>
    <w:rsid w:val="00062619"/>
    <w:rsid w:val="000640BF"/>
    <w:rsid w:val="00064500"/>
    <w:rsid w:val="0006454E"/>
    <w:rsid w:val="00064D29"/>
    <w:rsid w:val="00064DA4"/>
    <w:rsid w:val="0006508E"/>
    <w:rsid w:val="0006515A"/>
    <w:rsid w:val="00065261"/>
    <w:rsid w:val="0006554E"/>
    <w:rsid w:val="00066823"/>
    <w:rsid w:val="0006697F"/>
    <w:rsid w:val="000669A5"/>
    <w:rsid w:val="000669F8"/>
    <w:rsid w:val="00066C4F"/>
    <w:rsid w:val="00067510"/>
    <w:rsid w:val="0007025C"/>
    <w:rsid w:val="00070363"/>
    <w:rsid w:val="00070432"/>
    <w:rsid w:val="000709BA"/>
    <w:rsid w:val="00070B2E"/>
    <w:rsid w:val="00070FD3"/>
    <w:rsid w:val="000715EB"/>
    <w:rsid w:val="00071B66"/>
    <w:rsid w:val="00072317"/>
    <w:rsid w:val="000726BF"/>
    <w:rsid w:val="0007294C"/>
    <w:rsid w:val="00072998"/>
    <w:rsid w:val="00072A2B"/>
    <w:rsid w:val="00072D1D"/>
    <w:rsid w:val="00072EC4"/>
    <w:rsid w:val="00074053"/>
    <w:rsid w:val="00074756"/>
    <w:rsid w:val="00074AF2"/>
    <w:rsid w:val="000758FD"/>
    <w:rsid w:val="00075E86"/>
    <w:rsid w:val="00076E75"/>
    <w:rsid w:val="000775AA"/>
    <w:rsid w:val="00077825"/>
    <w:rsid w:val="00077E49"/>
    <w:rsid w:val="0008048A"/>
    <w:rsid w:val="00080963"/>
    <w:rsid w:val="000809A7"/>
    <w:rsid w:val="00080CF5"/>
    <w:rsid w:val="00081246"/>
    <w:rsid w:val="000815CB"/>
    <w:rsid w:val="0008193F"/>
    <w:rsid w:val="00081B51"/>
    <w:rsid w:val="0008235F"/>
    <w:rsid w:val="000826A1"/>
    <w:rsid w:val="000829FC"/>
    <w:rsid w:val="00082E8C"/>
    <w:rsid w:val="00083016"/>
    <w:rsid w:val="0008337B"/>
    <w:rsid w:val="000839A7"/>
    <w:rsid w:val="00084C7E"/>
    <w:rsid w:val="00085BF3"/>
    <w:rsid w:val="000863C3"/>
    <w:rsid w:val="00086AF0"/>
    <w:rsid w:val="00086BBC"/>
    <w:rsid w:val="00087714"/>
    <w:rsid w:val="00087F1C"/>
    <w:rsid w:val="000900BC"/>
    <w:rsid w:val="00090516"/>
    <w:rsid w:val="0009058B"/>
    <w:rsid w:val="00090AB2"/>
    <w:rsid w:val="00090F1A"/>
    <w:rsid w:val="000912D7"/>
    <w:rsid w:val="00091E17"/>
    <w:rsid w:val="000922C5"/>
    <w:rsid w:val="00092C4E"/>
    <w:rsid w:val="000931A3"/>
    <w:rsid w:val="000934CF"/>
    <w:rsid w:val="00093504"/>
    <w:rsid w:val="0009394D"/>
    <w:rsid w:val="00093AA0"/>
    <w:rsid w:val="000941CF"/>
    <w:rsid w:val="000942B7"/>
    <w:rsid w:val="0009484A"/>
    <w:rsid w:val="00094C8C"/>
    <w:rsid w:val="00094E59"/>
    <w:rsid w:val="00096189"/>
    <w:rsid w:val="0009621A"/>
    <w:rsid w:val="00096C6C"/>
    <w:rsid w:val="00096D6A"/>
    <w:rsid w:val="000973AE"/>
    <w:rsid w:val="000976F4"/>
    <w:rsid w:val="00097E1F"/>
    <w:rsid w:val="00097EC9"/>
    <w:rsid w:val="000A076C"/>
    <w:rsid w:val="000A07B7"/>
    <w:rsid w:val="000A0A8F"/>
    <w:rsid w:val="000A14DD"/>
    <w:rsid w:val="000A195A"/>
    <w:rsid w:val="000A1B1D"/>
    <w:rsid w:val="000A1DC2"/>
    <w:rsid w:val="000A1F3A"/>
    <w:rsid w:val="000A27CA"/>
    <w:rsid w:val="000A29B5"/>
    <w:rsid w:val="000A3344"/>
    <w:rsid w:val="000A3814"/>
    <w:rsid w:val="000A3CFA"/>
    <w:rsid w:val="000A3EC5"/>
    <w:rsid w:val="000A42B7"/>
    <w:rsid w:val="000A44C8"/>
    <w:rsid w:val="000A4920"/>
    <w:rsid w:val="000A4A68"/>
    <w:rsid w:val="000A4EDD"/>
    <w:rsid w:val="000A5AFC"/>
    <w:rsid w:val="000A5B82"/>
    <w:rsid w:val="000A5C70"/>
    <w:rsid w:val="000A6355"/>
    <w:rsid w:val="000A656F"/>
    <w:rsid w:val="000A657A"/>
    <w:rsid w:val="000A69E0"/>
    <w:rsid w:val="000A6CCF"/>
    <w:rsid w:val="000A6CE0"/>
    <w:rsid w:val="000A7331"/>
    <w:rsid w:val="000A7A8C"/>
    <w:rsid w:val="000A7F04"/>
    <w:rsid w:val="000B042B"/>
    <w:rsid w:val="000B06E2"/>
    <w:rsid w:val="000B0899"/>
    <w:rsid w:val="000B1473"/>
    <w:rsid w:val="000B1D50"/>
    <w:rsid w:val="000B2169"/>
    <w:rsid w:val="000B23D8"/>
    <w:rsid w:val="000B24D9"/>
    <w:rsid w:val="000B259A"/>
    <w:rsid w:val="000B2611"/>
    <w:rsid w:val="000B2760"/>
    <w:rsid w:val="000B2A8B"/>
    <w:rsid w:val="000B2CFB"/>
    <w:rsid w:val="000B36F0"/>
    <w:rsid w:val="000B3E0C"/>
    <w:rsid w:val="000B4154"/>
    <w:rsid w:val="000B416D"/>
    <w:rsid w:val="000B4CD3"/>
    <w:rsid w:val="000B50D8"/>
    <w:rsid w:val="000B5A42"/>
    <w:rsid w:val="000B5B1B"/>
    <w:rsid w:val="000B5C60"/>
    <w:rsid w:val="000B6120"/>
    <w:rsid w:val="000B62AD"/>
    <w:rsid w:val="000B6807"/>
    <w:rsid w:val="000B6995"/>
    <w:rsid w:val="000B72AE"/>
    <w:rsid w:val="000B7CF1"/>
    <w:rsid w:val="000B7FF0"/>
    <w:rsid w:val="000C00A5"/>
    <w:rsid w:val="000C01B4"/>
    <w:rsid w:val="000C06AC"/>
    <w:rsid w:val="000C07EA"/>
    <w:rsid w:val="000C0940"/>
    <w:rsid w:val="000C0BA3"/>
    <w:rsid w:val="000C19D0"/>
    <w:rsid w:val="000C27E6"/>
    <w:rsid w:val="000C3025"/>
    <w:rsid w:val="000C35D9"/>
    <w:rsid w:val="000C39C3"/>
    <w:rsid w:val="000C3EB9"/>
    <w:rsid w:val="000C4A0F"/>
    <w:rsid w:val="000C5576"/>
    <w:rsid w:val="000C5BFB"/>
    <w:rsid w:val="000C6971"/>
    <w:rsid w:val="000C720E"/>
    <w:rsid w:val="000C7611"/>
    <w:rsid w:val="000C7933"/>
    <w:rsid w:val="000D06AB"/>
    <w:rsid w:val="000D0917"/>
    <w:rsid w:val="000D0BD2"/>
    <w:rsid w:val="000D0DE0"/>
    <w:rsid w:val="000D1DFF"/>
    <w:rsid w:val="000D1FDD"/>
    <w:rsid w:val="000D23EC"/>
    <w:rsid w:val="000D282B"/>
    <w:rsid w:val="000D364A"/>
    <w:rsid w:val="000D373A"/>
    <w:rsid w:val="000D3869"/>
    <w:rsid w:val="000D3C86"/>
    <w:rsid w:val="000D437A"/>
    <w:rsid w:val="000D47AE"/>
    <w:rsid w:val="000D47CD"/>
    <w:rsid w:val="000D4876"/>
    <w:rsid w:val="000D49D4"/>
    <w:rsid w:val="000D52AF"/>
    <w:rsid w:val="000D5A71"/>
    <w:rsid w:val="000D5C05"/>
    <w:rsid w:val="000D5FCC"/>
    <w:rsid w:val="000D6599"/>
    <w:rsid w:val="000D66BA"/>
    <w:rsid w:val="000D6AE5"/>
    <w:rsid w:val="000D6ED7"/>
    <w:rsid w:val="000D7003"/>
    <w:rsid w:val="000D779B"/>
    <w:rsid w:val="000D7A85"/>
    <w:rsid w:val="000D7F4E"/>
    <w:rsid w:val="000E12D5"/>
    <w:rsid w:val="000E1388"/>
    <w:rsid w:val="000E1B71"/>
    <w:rsid w:val="000E23E3"/>
    <w:rsid w:val="000E263E"/>
    <w:rsid w:val="000E2660"/>
    <w:rsid w:val="000E2E37"/>
    <w:rsid w:val="000E2F05"/>
    <w:rsid w:val="000E31CD"/>
    <w:rsid w:val="000E3345"/>
    <w:rsid w:val="000E3387"/>
    <w:rsid w:val="000E33A2"/>
    <w:rsid w:val="000E33FE"/>
    <w:rsid w:val="000E35EE"/>
    <w:rsid w:val="000E3D37"/>
    <w:rsid w:val="000E4577"/>
    <w:rsid w:val="000E4A03"/>
    <w:rsid w:val="000E4F36"/>
    <w:rsid w:val="000E4F3A"/>
    <w:rsid w:val="000E4F5D"/>
    <w:rsid w:val="000E518F"/>
    <w:rsid w:val="000E54ED"/>
    <w:rsid w:val="000E573D"/>
    <w:rsid w:val="000E5DFE"/>
    <w:rsid w:val="000E6FA7"/>
    <w:rsid w:val="000E716F"/>
    <w:rsid w:val="000E7293"/>
    <w:rsid w:val="000E7335"/>
    <w:rsid w:val="000E75C0"/>
    <w:rsid w:val="000F0EB3"/>
    <w:rsid w:val="000F0F68"/>
    <w:rsid w:val="000F10FE"/>
    <w:rsid w:val="000F1291"/>
    <w:rsid w:val="000F1344"/>
    <w:rsid w:val="000F178A"/>
    <w:rsid w:val="000F2247"/>
    <w:rsid w:val="000F304D"/>
    <w:rsid w:val="000F3626"/>
    <w:rsid w:val="000F38C2"/>
    <w:rsid w:val="000F3AEC"/>
    <w:rsid w:val="000F3CEF"/>
    <w:rsid w:val="000F482E"/>
    <w:rsid w:val="000F4B00"/>
    <w:rsid w:val="000F4E2D"/>
    <w:rsid w:val="000F4E3A"/>
    <w:rsid w:val="000F4F79"/>
    <w:rsid w:val="000F52B3"/>
    <w:rsid w:val="000F5C25"/>
    <w:rsid w:val="000F667F"/>
    <w:rsid w:val="000F6FFA"/>
    <w:rsid w:val="000F747E"/>
    <w:rsid w:val="000F7769"/>
    <w:rsid w:val="000F79C5"/>
    <w:rsid w:val="00100572"/>
    <w:rsid w:val="00100694"/>
    <w:rsid w:val="00100A2B"/>
    <w:rsid w:val="001010C8"/>
    <w:rsid w:val="0010161B"/>
    <w:rsid w:val="001018F4"/>
    <w:rsid w:val="00101C61"/>
    <w:rsid w:val="00102400"/>
    <w:rsid w:val="00102810"/>
    <w:rsid w:val="00102BAD"/>
    <w:rsid w:val="00102F82"/>
    <w:rsid w:val="00104601"/>
    <w:rsid w:val="001046D7"/>
    <w:rsid w:val="00104807"/>
    <w:rsid w:val="0010490C"/>
    <w:rsid w:val="001049B6"/>
    <w:rsid w:val="00104DF2"/>
    <w:rsid w:val="00105610"/>
    <w:rsid w:val="00105639"/>
    <w:rsid w:val="001057C0"/>
    <w:rsid w:val="001057CA"/>
    <w:rsid w:val="001058C7"/>
    <w:rsid w:val="00105C56"/>
    <w:rsid w:val="00105C62"/>
    <w:rsid w:val="0010606E"/>
    <w:rsid w:val="00106370"/>
    <w:rsid w:val="00106827"/>
    <w:rsid w:val="00106952"/>
    <w:rsid w:val="00106EDB"/>
    <w:rsid w:val="001079FF"/>
    <w:rsid w:val="00107CA1"/>
    <w:rsid w:val="00111618"/>
    <w:rsid w:val="0011231F"/>
    <w:rsid w:val="0011267D"/>
    <w:rsid w:val="001126DF"/>
    <w:rsid w:val="00113379"/>
    <w:rsid w:val="00115109"/>
    <w:rsid w:val="001155BA"/>
    <w:rsid w:val="001159B3"/>
    <w:rsid w:val="00115B2E"/>
    <w:rsid w:val="00115E42"/>
    <w:rsid w:val="00115FA1"/>
    <w:rsid w:val="00116096"/>
    <w:rsid w:val="00116547"/>
    <w:rsid w:val="0011670B"/>
    <w:rsid w:val="0011732C"/>
    <w:rsid w:val="001200D8"/>
    <w:rsid w:val="00120260"/>
    <w:rsid w:val="00120286"/>
    <w:rsid w:val="00120333"/>
    <w:rsid w:val="00120D2A"/>
    <w:rsid w:val="00120EC7"/>
    <w:rsid w:val="0012209F"/>
    <w:rsid w:val="001222BD"/>
    <w:rsid w:val="0012232E"/>
    <w:rsid w:val="001232A4"/>
    <w:rsid w:val="00123415"/>
    <w:rsid w:val="00123656"/>
    <w:rsid w:val="00123A3A"/>
    <w:rsid w:val="0012421C"/>
    <w:rsid w:val="001248B2"/>
    <w:rsid w:val="00124BCB"/>
    <w:rsid w:val="0012520B"/>
    <w:rsid w:val="00125555"/>
    <w:rsid w:val="00125B08"/>
    <w:rsid w:val="00125F09"/>
    <w:rsid w:val="001262AE"/>
    <w:rsid w:val="001265D9"/>
    <w:rsid w:val="00126F86"/>
    <w:rsid w:val="00127067"/>
    <w:rsid w:val="00127813"/>
    <w:rsid w:val="00127ACB"/>
    <w:rsid w:val="00127C26"/>
    <w:rsid w:val="00127CF5"/>
    <w:rsid w:val="00130875"/>
    <w:rsid w:val="00131606"/>
    <w:rsid w:val="0013284D"/>
    <w:rsid w:val="001329E1"/>
    <w:rsid w:val="00132E23"/>
    <w:rsid w:val="00132FB5"/>
    <w:rsid w:val="001331A0"/>
    <w:rsid w:val="00133502"/>
    <w:rsid w:val="00133D49"/>
    <w:rsid w:val="00133E31"/>
    <w:rsid w:val="00134595"/>
    <w:rsid w:val="00134A67"/>
    <w:rsid w:val="00135692"/>
    <w:rsid w:val="00136214"/>
    <w:rsid w:val="00136236"/>
    <w:rsid w:val="00136419"/>
    <w:rsid w:val="00136582"/>
    <w:rsid w:val="00136CAD"/>
    <w:rsid w:val="00137549"/>
    <w:rsid w:val="0013785F"/>
    <w:rsid w:val="001403B4"/>
    <w:rsid w:val="001403F9"/>
    <w:rsid w:val="00140D9B"/>
    <w:rsid w:val="00140F22"/>
    <w:rsid w:val="001412C1"/>
    <w:rsid w:val="00141403"/>
    <w:rsid w:val="00141727"/>
    <w:rsid w:val="00141B82"/>
    <w:rsid w:val="00141DFA"/>
    <w:rsid w:val="00141ECC"/>
    <w:rsid w:val="0014244A"/>
    <w:rsid w:val="00142F29"/>
    <w:rsid w:val="00143E91"/>
    <w:rsid w:val="001442D1"/>
    <w:rsid w:val="001444DF"/>
    <w:rsid w:val="00144BAA"/>
    <w:rsid w:val="00145840"/>
    <w:rsid w:val="00145991"/>
    <w:rsid w:val="00145E99"/>
    <w:rsid w:val="00146261"/>
    <w:rsid w:val="00146702"/>
    <w:rsid w:val="00146E9B"/>
    <w:rsid w:val="00146F43"/>
    <w:rsid w:val="00147970"/>
    <w:rsid w:val="00147D3A"/>
    <w:rsid w:val="00147E9E"/>
    <w:rsid w:val="00150100"/>
    <w:rsid w:val="00150119"/>
    <w:rsid w:val="00150A76"/>
    <w:rsid w:val="00151C23"/>
    <w:rsid w:val="00151F6D"/>
    <w:rsid w:val="00152941"/>
    <w:rsid w:val="001530C0"/>
    <w:rsid w:val="0015311D"/>
    <w:rsid w:val="00153687"/>
    <w:rsid w:val="00153B63"/>
    <w:rsid w:val="00153CCD"/>
    <w:rsid w:val="00153D54"/>
    <w:rsid w:val="00153D87"/>
    <w:rsid w:val="0015433F"/>
    <w:rsid w:val="00154596"/>
    <w:rsid w:val="00154682"/>
    <w:rsid w:val="0015479D"/>
    <w:rsid w:val="00154841"/>
    <w:rsid w:val="00154D87"/>
    <w:rsid w:val="001555B1"/>
    <w:rsid w:val="00155612"/>
    <w:rsid w:val="001556FD"/>
    <w:rsid w:val="00156166"/>
    <w:rsid w:val="00156236"/>
    <w:rsid w:val="00156710"/>
    <w:rsid w:val="0015791C"/>
    <w:rsid w:val="00157937"/>
    <w:rsid w:val="00157983"/>
    <w:rsid w:val="00160072"/>
    <w:rsid w:val="00160290"/>
    <w:rsid w:val="00160505"/>
    <w:rsid w:val="00160D97"/>
    <w:rsid w:val="00160F4B"/>
    <w:rsid w:val="001611E6"/>
    <w:rsid w:val="00161A13"/>
    <w:rsid w:val="00162078"/>
    <w:rsid w:val="001623DD"/>
    <w:rsid w:val="0016277D"/>
    <w:rsid w:val="001629E3"/>
    <w:rsid w:val="00162AC2"/>
    <w:rsid w:val="00162DD0"/>
    <w:rsid w:val="0016324E"/>
    <w:rsid w:val="00163362"/>
    <w:rsid w:val="00163553"/>
    <w:rsid w:val="00163A54"/>
    <w:rsid w:val="00164B0D"/>
    <w:rsid w:val="00165B5F"/>
    <w:rsid w:val="00165C22"/>
    <w:rsid w:val="00165F6C"/>
    <w:rsid w:val="001663C7"/>
    <w:rsid w:val="001676E9"/>
    <w:rsid w:val="0017023C"/>
    <w:rsid w:val="00170631"/>
    <w:rsid w:val="00170958"/>
    <w:rsid w:val="0017097E"/>
    <w:rsid w:val="00170C6A"/>
    <w:rsid w:val="00170D49"/>
    <w:rsid w:val="001714CF"/>
    <w:rsid w:val="001716E9"/>
    <w:rsid w:val="00171D64"/>
    <w:rsid w:val="00171DB3"/>
    <w:rsid w:val="001723A4"/>
    <w:rsid w:val="00172642"/>
    <w:rsid w:val="0017318F"/>
    <w:rsid w:val="0017326F"/>
    <w:rsid w:val="001732F0"/>
    <w:rsid w:val="00173438"/>
    <w:rsid w:val="0017368F"/>
    <w:rsid w:val="00173DE9"/>
    <w:rsid w:val="00174015"/>
    <w:rsid w:val="001744BC"/>
    <w:rsid w:val="00174A00"/>
    <w:rsid w:val="0017544A"/>
    <w:rsid w:val="00175B83"/>
    <w:rsid w:val="001761E1"/>
    <w:rsid w:val="0017656A"/>
    <w:rsid w:val="00176877"/>
    <w:rsid w:val="00176E4B"/>
    <w:rsid w:val="001774A3"/>
    <w:rsid w:val="00177558"/>
    <w:rsid w:val="00180483"/>
    <w:rsid w:val="0018054A"/>
    <w:rsid w:val="00180649"/>
    <w:rsid w:val="00180D46"/>
    <w:rsid w:val="00181177"/>
    <w:rsid w:val="001817F3"/>
    <w:rsid w:val="001828A5"/>
    <w:rsid w:val="00182F46"/>
    <w:rsid w:val="00183E3C"/>
    <w:rsid w:val="00183E97"/>
    <w:rsid w:val="001847D3"/>
    <w:rsid w:val="00184BFE"/>
    <w:rsid w:val="001859BC"/>
    <w:rsid w:val="00185B10"/>
    <w:rsid w:val="001860FC"/>
    <w:rsid w:val="001867F0"/>
    <w:rsid w:val="00186933"/>
    <w:rsid w:val="001871E0"/>
    <w:rsid w:val="001871FA"/>
    <w:rsid w:val="0018732F"/>
    <w:rsid w:val="00187496"/>
    <w:rsid w:val="00187DA7"/>
    <w:rsid w:val="00190128"/>
    <w:rsid w:val="001905D4"/>
    <w:rsid w:val="00190D22"/>
    <w:rsid w:val="00190F86"/>
    <w:rsid w:val="00191386"/>
    <w:rsid w:val="00191586"/>
    <w:rsid w:val="0019205C"/>
    <w:rsid w:val="00192221"/>
    <w:rsid w:val="0019436E"/>
    <w:rsid w:val="0019457B"/>
    <w:rsid w:val="00194AF4"/>
    <w:rsid w:val="00195441"/>
    <w:rsid w:val="00195A51"/>
    <w:rsid w:val="00195E50"/>
    <w:rsid w:val="00196332"/>
    <w:rsid w:val="001963B5"/>
    <w:rsid w:val="0019664A"/>
    <w:rsid w:val="00196693"/>
    <w:rsid w:val="00196FB7"/>
    <w:rsid w:val="00197DDF"/>
    <w:rsid w:val="00197DFC"/>
    <w:rsid w:val="00197E68"/>
    <w:rsid w:val="00197F2A"/>
    <w:rsid w:val="001A03CB"/>
    <w:rsid w:val="001A043D"/>
    <w:rsid w:val="001A0626"/>
    <w:rsid w:val="001A0CC9"/>
    <w:rsid w:val="001A0E04"/>
    <w:rsid w:val="001A0FEB"/>
    <w:rsid w:val="001A1376"/>
    <w:rsid w:val="001A15A8"/>
    <w:rsid w:val="001A17ED"/>
    <w:rsid w:val="001A1B85"/>
    <w:rsid w:val="001A1E11"/>
    <w:rsid w:val="001A2B48"/>
    <w:rsid w:val="001A2BDA"/>
    <w:rsid w:val="001A3910"/>
    <w:rsid w:val="001A3DA4"/>
    <w:rsid w:val="001A436F"/>
    <w:rsid w:val="001A4485"/>
    <w:rsid w:val="001A4A07"/>
    <w:rsid w:val="001A5571"/>
    <w:rsid w:val="001A5703"/>
    <w:rsid w:val="001A5881"/>
    <w:rsid w:val="001A5918"/>
    <w:rsid w:val="001A5F5F"/>
    <w:rsid w:val="001A6130"/>
    <w:rsid w:val="001A61FF"/>
    <w:rsid w:val="001A6487"/>
    <w:rsid w:val="001A74A5"/>
    <w:rsid w:val="001A7CC1"/>
    <w:rsid w:val="001A7E2C"/>
    <w:rsid w:val="001A7F78"/>
    <w:rsid w:val="001B05DE"/>
    <w:rsid w:val="001B063A"/>
    <w:rsid w:val="001B1A7E"/>
    <w:rsid w:val="001B2A7A"/>
    <w:rsid w:val="001B2AF4"/>
    <w:rsid w:val="001B2DD1"/>
    <w:rsid w:val="001B2DEA"/>
    <w:rsid w:val="001B3A5E"/>
    <w:rsid w:val="001B3E5B"/>
    <w:rsid w:val="001B4C02"/>
    <w:rsid w:val="001B4F11"/>
    <w:rsid w:val="001B50F3"/>
    <w:rsid w:val="001B531D"/>
    <w:rsid w:val="001B5C38"/>
    <w:rsid w:val="001B5F5E"/>
    <w:rsid w:val="001B6B3E"/>
    <w:rsid w:val="001B70B9"/>
    <w:rsid w:val="001B7547"/>
    <w:rsid w:val="001C0221"/>
    <w:rsid w:val="001C0332"/>
    <w:rsid w:val="001C09D1"/>
    <w:rsid w:val="001C0B4B"/>
    <w:rsid w:val="001C1996"/>
    <w:rsid w:val="001C2008"/>
    <w:rsid w:val="001C2655"/>
    <w:rsid w:val="001C2FF4"/>
    <w:rsid w:val="001C3263"/>
    <w:rsid w:val="001C34FF"/>
    <w:rsid w:val="001C3B67"/>
    <w:rsid w:val="001C3BCF"/>
    <w:rsid w:val="001C3CDF"/>
    <w:rsid w:val="001C421C"/>
    <w:rsid w:val="001C44FF"/>
    <w:rsid w:val="001C45D0"/>
    <w:rsid w:val="001C47BB"/>
    <w:rsid w:val="001C4A95"/>
    <w:rsid w:val="001C559C"/>
    <w:rsid w:val="001C55B0"/>
    <w:rsid w:val="001C5D76"/>
    <w:rsid w:val="001C5FCD"/>
    <w:rsid w:val="001C61EB"/>
    <w:rsid w:val="001C6305"/>
    <w:rsid w:val="001C6B7D"/>
    <w:rsid w:val="001C6F46"/>
    <w:rsid w:val="001C701A"/>
    <w:rsid w:val="001C7B39"/>
    <w:rsid w:val="001C7DF3"/>
    <w:rsid w:val="001D0272"/>
    <w:rsid w:val="001D0297"/>
    <w:rsid w:val="001D0394"/>
    <w:rsid w:val="001D0A3C"/>
    <w:rsid w:val="001D0DD1"/>
    <w:rsid w:val="001D1278"/>
    <w:rsid w:val="001D1A12"/>
    <w:rsid w:val="001D2925"/>
    <w:rsid w:val="001D2CDB"/>
    <w:rsid w:val="001D400C"/>
    <w:rsid w:val="001D4851"/>
    <w:rsid w:val="001D4B54"/>
    <w:rsid w:val="001D58B3"/>
    <w:rsid w:val="001D5909"/>
    <w:rsid w:val="001D5C82"/>
    <w:rsid w:val="001D6A48"/>
    <w:rsid w:val="001D6AF1"/>
    <w:rsid w:val="001D6D88"/>
    <w:rsid w:val="001D70C3"/>
    <w:rsid w:val="001D73ED"/>
    <w:rsid w:val="001D7578"/>
    <w:rsid w:val="001D75D0"/>
    <w:rsid w:val="001D7996"/>
    <w:rsid w:val="001D7B99"/>
    <w:rsid w:val="001E02D8"/>
    <w:rsid w:val="001E069D"/>
    <w:rsid w:val="001E0E5A"/>
    <w:rsid w:val="001E11AB"/>
    <w:rsid w:val="001E12D0"/>
    <w:rsid w:val="001E14C9"/>
    <w:rsid w:val="001E20AD"/>
    <w:rsid w:val="001E2A39"/>
    <w:rsid w:val="001E2F65"/>
    <w:rsid w:val="001E33D8"/>
    <w:rsid w:val="001E3FE8"/>
    <w:rsid w:val="001E40EF"/>
    <w:rsid w:val="001E425D"/>
    <w:rsid w:val="001E42B0"/>
    <w:rsid w:val="001E663A"/>
    <w:rsid w:val="001E667B"/>
    <w:rsid w:val="001E6A17"/>
    <w:rsid w:val="001E75E5"/>
    <w:rsid w:val="001E765E"/>
    <w:rsid w:val="001E7BD2"/>
    <w:rsid w:val="001E7CE0"/>
    <w:rsid w:val="001E7DD1"/>
    <w:rsid w:val="001E7EF5"/>
    <w:rsid w:val="001F0223"/>
    <w:rsid w:val="001F054B"/>
    <w:rsid w:val="001F057C"/>
    <w:rsid w:val="001F09A4"/>
    <w:rsid w:val="001F0BBB"/>
    <w:rsid w:val="001F1527"/>
    <w:rsid w:val="001F15FB"/>
    <w:rsid w:val="001F1A67"/>
    <w:rsid w:val="001F1B43"/>
    <w:rsid w:val="001F1C2C"/>
    <w:rsid w:val="001F1ED3"/>
    <w:rsid w:val="001F201A"/>
    <w:rsid w:val="001F2050"/>
    <w:rsid w:val="001F22A3"/>
    <w:rsid w:val="001F2E31"/>
    <w:rsid w:val="001F3870"/>
    <w:rsid w:val="001F40DF"/>
    <w:rsid w:val="001F4363"/>
    <w:rsid w:val="001F4880"/>
    <w:rsid w:val="001F49B3"/>
    <w:rsid w:val="001F4B20"/>
    <w:rsid w:val="001F4B4A"/>
    <w:rsid w:val="001F520A"/>
    <w:rsid w:val="001F521D"/>
    <w:rsid w:val="001F5ED7"/>
    <w:rsid w:val="001F5FE5"/>
    <w:rsid w:val="001F6413"/>
    <w:rsid w:val="001F6747"/>
    <w:rsid w:val="00200235"/>
    <w:rsid w:val="00200403"/>
    <w:rsid w:val="002016E9"/>
    <w:rsid w:val="002024A5"/>
    <w:rsid w:val="00202735"/>
    <w:rsid w:val="00202807"/>
    <w:rsid w:val="00202855"/>
    <w:rsid w:val="00202A37"/>
    <w:rsid w:val="00202C8F"/>
    <w:rsid w:val="002035B2"/>
    <w:rsid w:val="00204358"/>
    <w:rsid w:val="002050D1"/>
    <w:rsid w:val="002052BE"/>
    <w:rsid w:val="00205570"/>
    <w:rsid w:val="00205D08"/>
    <w:rsid w:val="002061DD"/>
    <w:rsid w:val="002062CB"/>
    <w:rsid w:val="002063ED"/>
    <w:rsid w:val="00206801"/>
    <w:rsid w:val="00206E75"/>
    <w:rsid w:val="00206FAC"/>
    <w:rsid w:val="00206FC9"/>
    <w:rsid w:val="00207C7D"/>
    <w:rsid w:val="00210916"/>
    <w:rsid w:val="002109F7"/>
    <w:rsid w:val="00210F2F"/>
    <w:rsid w:val="00211526"/>
    <w:rsid w:val="002118C2"/>
    <w:rsid w:val="00211A2F"/>
    <w:rsid w:val="00211A9A"/>
    <w:rsid w:val="00211C22"/>
    <w:rsid w:val="00212747"/>
    <w:rsid w:val="002133F0"/>
    <w:rsid w:val="00213DE1"/>
    <w:rsid w:val="00213E1E"/>
    <w:rsid w:val="00213EB0"/>
    <w:rsid w:val="00213EBD"/>
    <w:rsid w:val="00215AE2"/>
    <w:rsid w:val="00215BCA"/>
    <w:rsid w:val="00215FAB"/>
    <w:rsid w:val="002162F4"/>
    <w:rsid w:val="00216795"/>
    <w:rsid w:val="00216984"/>
    <w:rsid w:val="00216E13"/>
    <w:rsid w:val="00217A2B"/>
    <w:rsid w:val="002203AE"/>
    <w:rsid w:val="002211A0"/>
    <w:rsid w:val="00222129"/>
    <w:rsid w:val="00222773"/>
    <w:rsid w:val="0022278D"/>
    <w:rsid w:val="00222EC8"/>
    <w:rsid w:val="002238DB"/>
    <w:rsid w:val="00224735"/>
    <w:rsid w:val="0022530E"/>
    <w:rsid w:val="00225F76"/>
    <w:rsid w:val="00226E70"/>
    <w:rsid w:val="00227337"/>
    <w:rsid w:val="0022742D"/>
    <w:rsid w:val="00227CEA"/>
    <w:rsid w:val="00230398"/>
    <w:rsid w:val="0023076A"/>
    <w:rsid w:val="00231240"/>
    <w:rsid w:val="0023196F"/>
    <w:rsid w:val="002319B4"/>
    <w:rsid w:val="002319FC"/>
    <w:rsid w:val="00231DCD"/>
    <w:rsid w:val="00232A82"/>
    <w:rsid w:val="00232EB9"/>
    <w:rsid w:val="00233281"/>
    <w:rsid w:val="00233732"/>
    <w:rsid w:val="00233BB3"/>
    <w:rsid w:val="00233CA8"/>
    <w:rsid w:val="00234ACC"/>
    <w:rsid w:val="00234E2A"/>
    <w:rsid w:val="00234EAB"/>
    <w:rsid w:val="00234FFE"/>
    <w:rsid w:val="00235327"/>
    <w:rsid w:val="00235AB9"/>
    <w:rsid w:val="00235EDA"/>
    <w:rsid w:val="00237407"/>
    <w:rsid w:val="002376C1"/>
    <w:rsid w:val="002377D3"/>
    <w:rsid w:val="00241953"/>
    <w:rsid w:val="00241CFB"/>
    <w:rsid w:val="0024233F"/>
    <w:rsid w:val="0024271C"/>
    <w:rsid w:val="00243449"/>
    <w:rsid w:val="002434AB"/>
    <w:rsid w:val="002434C1"/>
    <w:rsid w:val="00243EB8"/>
    <w:rsid w:val="0024458B"/>
    <w:rsid w:val="00244615"/>
    <w:rsid w:val="00244B40"/>
    <w:rsid w:val="00244D08"/>
    <w:rsid w:val="00244FD6"/>
    <w:rsid w:val="00245722"/>
    <w:rsid w:val="002458A3"/>
    <w:rsid w:val="002458AF"/>
    <w:rsid w:val="0024604E"/>
    <w:rsid w:val="00246396"/>
    <w:rsid w:val="002469DC"/>
    <w:rsid w:val="00246D52"/>
    <w:rsid w:val="002471DD"/>
    <w:rsid w:val="0024728B"/>
    <w:rsid w:val="002479DC"/>
    <w:rsid w:val="00250525"/>
    <w:rsid w:val="002509B1"/>
    <w:rsid w:val="00251BE6"/>
    <w:rsid w:val="002520AF"/>
    <w:rsid w:val="002524B7"/>
    <w:rsid w:val="0025284B"/>
    <w:rsid w:val="002533FE"/>
    <w:rsid w:val="002537B7"/>
    <w:rsid w:val="00253ED0"/>
    <w:rsid w:val="00253F85"/>
    <w:rsid w:val="0025409D"/>
    <w:rsid w:val="0025453F"/>
    <w:rsid w:val="002546A2"/>
    <w:rsid w:val="002546C9"/>
    <w:rsid w:val="0025475E"/>
    <w:rsid w:val="002547A6"/>
    <w:rsid w:val="002548D7"/>
    <w:rsid w:val="00255196"/>
    <w:rsid w:val="00255568"/>
    <w:rsid w:val="0025556D"/>
    <w:rsid w:val="00255D4E"/>
    <w:rsid w:val="0025613E"/>
    <w:rsid w:val="00256810"/>
    <w:rsid w:val="00257481"/>
    <w:rsid w:val="00257649"/>
    <w:rsid w:val="00260113"/>
    <w:rsid w:val="00260492"/>
    <w:rsid w:val="00260591"/>
    <w:rsid w:val="002609AA"/>
    <w:rsid w:val="0026124B"/>
    <w:rsid w:val="00261922"/>
    <w:rsid w:val="002619F4"/>
    <w:rsid w:val="00261C6D"/>
    <w:rsid w:val="0026241C"/>
    <w:rsid w:val="002627A8"/>
    <w:rsid w:val="00262886"/>
    <w:rsid w:val="00262913"/>
    <w:rsid w:val="00262B4A"/>
    <w:rsid w:val="00262D01"/>
    <w:rsid w:val="002631ED"/>
    <w:rsid w:val="002632BA"/>
    <w:rsid w:val="002635E1"/>
    <w:rsid w:val="0026399B"/>
    <w:rsid w:val="002641BB"/>
    <w:rsid w:val="0026656E"/>
    <w:rsid w:val="00266DA0"/>
    <w:rsid w:val="00267078"/>
    <w:rsid w:val="002701B2"/>
    <w:rsid w:val="002705B8"/>
    <w:rsid w:val="0027084F"/>
    <w:rsid w:val="00270AF5"/>
    <w:rsid w:val="00270D66"/>
    <w:rsid w:val="0027158F"/>
    <w:rsid w:val="00271AF0"/>
    <w:rsid w:val="00271B65"/>
    <w:rsid w:val="00271C13"/>
    <w:rsid w:val="0027236D"/>
    <w:rsid w:val="00272489"/>
    <w:rsid w:val="002734B3"/>
    <w:rsid w:val="00273545"/>
    <w:rsid w:val="00273DE7"/>
    <w:rsid w:val="00274195"/>
    <w:rsid w:val="00274707"/>
    <w:rsid w:val="00274AEE"/>
    <w:rsid w:val="00274C29"/>
    <w:rsid w:val="00274E54"/>
    <w:rsid w:val="00275C81"/>
    <w:rsid w:val="0027611E"/>
    <w:rsid w:val="00277238"/>
    <w:rsid w:val="002775D7"/>
    <w:rsid w:val="002775FC"/>
    <w:rsid w:val="00277788"/>
    <w:rsid w:val="00277A2F"/>
    <w:rsid w:val="00277A96"/>
    <w:rsid w:val="00277B61"/>
    <w:rsid w:val="00280AC1"/>
    <w:rsid w:val="00280C5A"/>
    <w:rsid w:val="00280F91"/>
    <w:rsid w:val="00281747"/>
    <w:rsid w:val="00281D5B"/>
    <w:rsid w:val="00281E0E"/>
    <w:rsid w:val="0028229A"/>
    <w:rsid w:val="00282AAF"/>
    <w:rsid w:val="00282B88"/>
    <w:rsid w:val="002830D0"/>
    <w:rsid w:val="00283E1E"/>
    <w:rsid w:val="00285342"/>
    <w:rsid w:val="00286117"/>
    <w:rsid w:val="00287039"/>
    <w:rsid w:val="0028739E"/>
    <w:rsid w:val="00287B11"/>
    <w:rsid w:val="00287DD0"/>
    <w:rsid w:val="002903F1"/>
    <w:rsid w:val="00291046"/>
    <w:rsid w:val="002918BE"/>
    <w:rsid w:val="002923E2"/>
    <w:rsid w:val="002926F4"/>
    <w:rsid w:val="00292B08"/>
    <w:rsid w:val="00292B95"/>
    <w:rsid w:val="00293215"/>
    <w:rsid w:val="002934F5"/>
    <w:rsid w:val="00293523"/>
    <w:rsid w:val="002937AA"/>
    <w:rsid w:val="002937B3"/>
    <w:rsid w:val="00293EED"/>
    <w:rsid w:val="00294034"/>
    <w:rsid w:val="002941F3"/>
    <w:rsid w:val="00294412"/>
    <w:rsid w:val="00294468"/>
    <w:rsid w:val="00294C5D"/>
    <w:rsid w:val="00295644"/>
    <w:rsid w:val="0029596D"/>
    <w:rsid w:val="002963C0"/>
    <w:rsid w:val="00296558"/>
    <w:rsid w:val="00296A57"/>
    <w:rsid w:val="00296AE1"/>
    <w:rsid w:val="00297B99"/>
    <w:rsid w:val="00297C78"/>
    <w:rsid w:val="00297D2C"/>
    <w:rsid w:val="00297D30"/>
    <w:rsid w:val="00297D9F"/>
    <w:rsid w:val="00297EF8"/>
    <w:rsid w:val="002A0310"/>
    <w:rsid w:val="002A05C4"/>
    <w:rsid w:val="002A0B5C"/>
    <w:rsid w:val="002A15CC"/>
    <w:rsid w:val="002A1739"/>
    <w:rsid w:val="002A1BB4"/>
    <w:rsid w:val="002A22E1"/>
    <w:rsid w:val="002A232F"/>
    <w:rsid w:val="002A23AA"/>
    <w:rsid w:val="002A25AA"/>
    <w:rsid w:val="002A2643"/>
    <w:rsid w:val="002A2E25"/>
    <w:rsid w:val="002A3350"/>
    <w:rsid w:val="002A38AA"/>
    <w:rsid w:val="002A3C22"/>
    <w:rsid w:val="002A4A28"/>
    <w:rsid w:val="002A4C83"/>
    <w:rsid w:val="002A58FB"/>
    <w:rsid w:val="002A61BA"/>
    <w:rsid w:val="002A63CD"/>
    <w:rsid w:val="002A6E98"/>
    <w:rsid w:val="002A717C"/>
    <w:rsid w:val="002A7423"/>
    <w:rsid w:val="002A748D"/>
    <w:rsid w:val="002A7789"/>
    <w:rsid w:val="002A79AA"/>
    <w:rsid w:val="002B04B6"/>
    <w:rsid w:val="002B079C"/>
    <w:rsid w:val="002B21CF"/>
    <w:rsid w:val="002B2300"/>
    <w:rsid w:val="002B2568"/>
    <w:rsid w:val="002B26B6"/>
    <w:rsid w:val="002B2A16"/>
    <w:rsid w:val="002B2A31"/>
    <w:rsid w:val="002B2BEB"/>
    <w:rsid w:val="002B2E87"/>
    <w:rsid w:val="002B352B"/>
    <w:rsid w:val="002B4C11"/>
    <w:rsid w:val="002B4E06"/>
    <w:rsid w:val="002B4FF5"/>
    <w:rsid w:val="002B5C31"/>
    <w:rsid w:val="002B61A0"/>
    <w:rsid w:val="002B61F2"/>
    <w:rsid w:val="002B641F"/>
    <w:rsid w:val="002B65FA"/>
    <w:rsid w:val="002B6666"/>
    <w:rsid w:val="002B66F6"/>
    <w:rsid w:val="002B76AE"/>
    <w:rsid w:val="002B7933"/>
    <w:rsid w:val="002B79F4"/>
    <w:rsid w:val="002C12DB"/>
    <w:rsid w:val="002C1314"/>
    <w:rsid w:val="002C17BA"/>
    <w:rsid w:val="002C1D40"/>
    <w:rsid w:val="002C33DC"/>
    <w:rsid w:val="002C37EB"/>
    <w:rsid w:val="002C38B8"/>
    <w:rsid w:val="002C4156"/>
    <w:rsid w:val="002C4229"/>
    <w:rsid w:val="002C4312"/>
    <w:rsid w:val="002C5185"/>
    <w:rsid w:val="002C5CDD"/>
    <w:rsid w:val="002C5EEE"/>
    <w:rsid w:val="002C636B"/>
    <w:rsid w:val="002C63BE"/>
    <w:rsid w:val="002C6ED5"/>
    <w:rsid w:val="002C7364"/>
    <w:rsid w:val="002C7C3A"/>
    <w:rsid w:val="002C7C78"/>
    <w:rsid w:val="002D027F"/>
    <w:rsid w:val="002D0361"/>
    <w:rsid w:val="002D047C"/>
    <w:rsid w:val="002D13FF"/>
    <w:rsid w:val="002D1D71"/>
    <w:rsid w:val="002D1F2A"/>
    <w:rsid w:val="002D2730"/>
    <w:rsid w:val="002D2B9F"/>
    <w:rsid w:val="002D2D06"/>
    <w:rsid w:val="002D3200"/>
    <w:rsid w:val="002D38C8"/>
    <w:rsid w:val="002D44D3"/>
    <w:rsid w:val="002D477E"/>
    <w:rsid w:val="002D5D38"/>
    <w:rsid w:val="002D5DC8"/>
    <w:rsid w:val="002D5F81"/>
    <w:rsid w:val="002D61B8"/>
    <w:rsid w:val="002D6416"/>
    <w:rsid w:val="002D69FE"/>
    <w:rsid w:val="002D6A27"/>
    <w:rsid w:val="002D6C39"/>
    <w:rsid w:val="002D7799"/>
    <w:rsid w:val="002D7CA7"/>
    <w:rsid w:val="002D7ED1"/>
    <w:rsid w:val="002E0A00"/>
    <w:rsid w:val="002E0DA2"/>
    <w:rsid w:val="002E0E53"/>
    <w:rsid w:val="002E146F"/>
    <w:rsid w:val="002E1B18"/>
    <w:rsid w:val="002E22D0"/>
    <w:rsid w:val="002E2598"/>
    <w:rsid w:val="002E26ED"/>
    <w:rsid w:val="002E33A4"/>
    <w:rsid w:val="002E3B91"/>
    <w:rsid w:val="002E3D4F"/>
    <w:rsid w:val="002E43CB"/>
    <w:rsid w:val="002E4C48"/>
    <w:rsid w:val="002E4E15"/>
    <w:rsid w:val="002E533B"/>
    <w:rsid w:val="002E5BC1"/>
    <w:rsid w:val="002E5E9F"/>
    <w:rsid w:val="002E6CBB"/>
    <w:rsid w:val="002E7127"/>
    <w:rsid w:val="002E7680"/>
    <w:rsid w:val="002E79AD"/>
    <w:rsid w:val="002E7AE0"/>
    <w:rsid w:val="002E7B63"/>
    <w:rsid w:val="002E7EB2"/>
    <w:rsid w:val="002E7F45"/>
    <w:rsid w:val="002E7FFD"/>
    <w:rsid w:val="002F088B"/>
    <w:rsid w:val="002F0A6A"/>
    <w:rsid w:val="002F0C07"/>
    <w:rsid w:val="002F1B0D"/>
    <w:rsid w:val="002F22E7"/>
    <w:rsid w:val="002F29F9"/>
    <w:rsid w:val="002F2C29"/>
    <w:rsid w:val="002F2D05"/>
    <w:rsid w:val="002F316B"/>
    <w:rsid w:val="002F3A2C"/>
    <w:rsid w:val="002F3BEF"/>
    <w:rsid w:val="002F3D42"/>
    <w:rsid w:val="002F46DE"/>
    <w:rsid w:val="002F4B3B"/>
    <w:rsid w:val="002F59ED"/>
    <w:rsid w:val="002F5BDD"/>
    <w:rsid w:val="002F5C31"/>
    <w:rsid w:val="002F5CF5"/>
    <w:rsid w:val="002F6118"/>
    <w:rsid w:val="002F611D"/>
    <w:rsid w:val="002F6396"/>
    <w:rsid w:val="002F67D0"/>
    <w:rsid w:val="002F75CB"/>
    <w:rsid w:val="002F7941"/>
    <w:rsid w:val="002F7A60"/>
    <w:rsid w:val="002F7D07"/>
    <w:rsid w:val="002F7E77"/>
    <w:rsid w:val="00300064"/>
    <w:rsid w:val="003001E2"/>
    <w:rsid w:val="00300976"/>
    <w:rsid w:val="00300DAB"/>
    <w:rsid w:val="00301132"/>
    <w:rsid w:val="00301F9C"/>
    <w:rsid w:val="00302A33"/>
    <w:rsid w:val="00303B33"/>
    <w:rsid w:val="003045D4"/>
    <w:rsid w:val="003047F6"/>
    <w:rsid w:val="00304E68"/>
    <w:rsid w:val="00304FFF"/>
    <w:rsid w:val="00305AEB"/>
    <w:rsid w:val="00305F1F"/>
    <w:rsid w:val="00305FA5"/>
    <w:rsid w:val="0030613F"/>
    <w:rsid w:val="003063D4"/>
    <w:rsid w:val="00306B8F"/>
    <w:rsid w:val="00306E83"/>
    <w:rsid w:val="00310BDA"/>
    <w:rsid w:val="003121DF"/>
    <w:rsid w:val="00312C01"/>
    <w:rsid w:val="00312D69"/>
    <w:rsid w:val="003132F9"/>
    <w:rsid w:val="00313651"/>
    <w:rsid w:val="00314AF8"/>
    <w:rsid w:val="00314C77"/>
    <w:rsid w:val="00314E43"/>
    <w:rsid w:val="0031554C"/>
    <w:rsid w:val="003159A1"/>
    <w:rsid w:val="00315ADE"/>
    <w:rsid w:val="00315E6D"/>
    <w:rsid w:val="003162EF"/>
    <w:rsid w:val="0031693C"/>
    <w:rsid w:val="003169E6"/>
    <w:rsid w:val="00316B34"/>
    <w:rsid w:val="00317614"/>
    <w:rsid w:val="00317D98"/>
    <w:rsid w:val="00320FAF"/>
    <w:rsid w:val="0032176F"/>
    <w:rsid w:val="00321875"/>
    <w:rsid w:val="00321CEE"/>
    <w:rsid w:val="00321F37"/>
    <w:rsid w:val="00321F52"/>
    <w:rsid w:val="0032295E"/>
    <w:rsid w:val="003235A3"/>
    <w:rsid w:val="0032381F"/>
    <w:rsid w:val="00323CA0"/>
    <w:rsid w:val="00323DD1"/>
    <w:rsid w:val="003249AE"/>
    <w:rsid w:val="00324F84"/>
    <w:rsid w:val="003255AD"/>
    <w:rsid w:val="0032596F"/>
    <w:rsid w:val="00325C10"/>
    <w:rsid w:val="00326103"/>
    <w:rsid w:val="003263ED"/>
    <w:rsid w:val="00326453"/>
    <w:rsid w:val="003267A8"/>
    <w:rsid w:val="003268F3"/>
    <w:rsid w:val="0032693A"/>
    <w:rsid w:val="00326F96"/>
    <w:rsid w:val="00327C9A"/>
    <w:rsid w:val="003305C3"/>
    <w:rsid w:val="00330F0C"/>
    <w:rsid w:val="00330F3B"/>
    <w:rsid w:val="003314A1"/>
    <w:rsid w:val="00331C39"/>
    <w:rsid w:val="00331DED"/>
    <w:rsid w:val="00332217"/>
    <w:rsid w:val="00332B7F"/>
    <w:rsid w:val="00332C46"/>
    <w:rsid w:val="00332FAD"/>
    <w:rsid w:val="0033334E"/>
    <w:rsid w:val="003334E1"/>
    <w:rsid w:val="00334368"/>
    <w:rsid w:val="00334396"/>
    <w:rsid w:val="003344D3"/>
    <w:rsid w:val="003345B0"/>
    <w:rsid w:val="0033508F"/>
    <w:rsid w:val="0033531F"/>
    <w:rsid w:val="00335A8C"/>
    <w:rsid w:val="00335F12"/>
    <w:rsid w:val="003364D5"/>
    <w:rsid w:val="003365EB"/>
    <w:rsid w:val="00336CD2"/>
    <w:rsid w:val="00337060"/>
    <w:rsid w:val="00337AC0"/>
    <w:rsid w:val="0034056E"/>
    <w:rsid w:val="0034091B"/>
    <w:rsid w:val="00340A64"/>
    <w:rsid w:val="00340CED"/>
    <w:rsid w:val="00341691"/>
    <w:rsid w:val="003416E2"/>
    <w:rsid w:val="00341BBE"/>
    <w:rsid w:val="00341C71"/>
    <w:rsid w:val="00341E55"/>
    <w:rsid w:val="00342569"/>
    <w:rsid w:val="0034266F"/>
    <w:rsid w:val="003433D7"/>
    <w:rsid w:val="0034433D"/>
    <w:rsid w:val="0034438F"/>
    <w:rsid w:val="00344CA5"/>
    <w:rsid w:val="003453B2"/>
    <w:rsid w:val="0034567E"/>
    <w:rsid w:val="00345F51"/>
    <w:rsid w:val="00346306"/>
    <w:rsid w:val="00346673"/>
    <w:rsid w:val="00346764"/>
    <w:rsid w:val="00346FDC"/>
    <w:rsid w:val="00347101"/>
    <w:rsid w:val="0034797C"/>
    <w:rsid w:val="003501F3"/>
    <w:rsid w:val="00350650"/>
    <w:rsid w:val="0035083A"/>
    <w:rsid w:val="00351678"/>
    <w:rsid w:val="00351CAD"/>
    <w:rsid w:val="003529CA"/>
    <w:rsid w:val="00352B4D"/>
    <w:rsid w:val="00352C48"/>
    <w:rsid w:val="00352DBD"/>
    <w:rsid w:val="00353537"/>
    <w:rsid w:val="00353651"/>
    <w:rsid w:val="0035395D"/>
    <w:rsid w:val="00354170"/>
    <w:rsid w:val="0035462A"/>
    <w:rsid w:val="00354A9F"/>
    <w:rsid w:val="00354E1A"/>
    <w:rsid w:val="00355843"/>
    <w:rsid w:val="003561D9"/>
    <w:rsid w:val="003567C8"/>
    <w:rsid w:val="003568AE"/>
    <w:rsid w:val="003569A4"/>
    <w:rsid w:val="00356E59"/>
    <w:rsid w:val="003573F0"/>
    <w:rsid w:val="00357527"/>
    <w:rsid w:val="00357A60"/>
    <w:rsid w:val="0036064E"/>
    <w:rsid w:val="00360C96"/>
    <w:rsid w:val="00360DBB"/>
    <w:rsid w:val="00361815"/>
    <w:rsid w:val="00361D67"/>
    <w:rsid w:val="0036267C"/>
    <w:rsid w:val="003626B9"/>
    <w:rsid w:val="00362B0B"/>
    <w:rsid w:val="0036321A"/>
    <w:rsid w:val="0036361F"/>
    <w:rsid w:val="00363A3B"/>
    <w:rsid w:val="0036516E"/>
    <w:rsid w:val="003653FF"/>
    <w:rsid w:val="00365493"/>
    <w:rsid w:val="0036556D"/>
    <w:rsid w:val="00365690"/>
    <w:rsid w:val="0036579C"/>
    <w:rsid w:val="003658B7"/>
    <w:rsid w:val="00365D63"/>
    <w:rsid w:val="0036633B"/>
    <w:rsid w:val="003663E7"/>
    <w:rsid w:val="0036713F"/>
    <w:rsid w:val="00367A12"/>
    <w:rsid w:val="0037046B"/>
    <w:rsid w:val="00370639"/>
    <w:rsid w:val="00370844"/>
    <w:rsid w:val="00370897"/>
    <w:rsid w:val="0037150E"/>
    <w:rsid w:val="003727C4"/>
    <w:rsid w:val="003728D8"/>
    <w:rsid w:val="0037372B"/>
    <w:rsid w:val="00373B90"/>
    <w:rsid w:val="00374824"/>
    <w:rsid w:val="00374A4A"/>
    <w:rsid w:val="003755EB"/>
    <w:rsid w:val="003757E2"/>
    <w:rsid w:val="00375C79"/>
    <w:rsid w:val="00375E92"/>
    <w:rsid w:val="00377101"/>
    <w:rsid w:val="003772FB"/>
    <w:rsid w:val="0037740B"/>
    <w:rsid w:val="00377A43"/>
    <w:rsid w:val="00377CA4"/>
    <w:rsid w:val="0038018D"/>
    <w:rsid w:val="003801A7"/>
    <w:rsid w:val="003801AA"/>
    <w:rsid w:val="0038060C"/>
    <w:rsid w:val="00380705"/>
    <w:rsid w:val="00381547"/>
    <w:rsid w:val="0038190D"/>
    <w:rsid w:val="00381BE7"/>
    <w:rsid w:val="003820CB"/>
    <w:rsid w:val="0038229D"/>
    <w:rsid w:val="003823C8"/>
    <w:rsid w:val="00382AEF"/>
    <w:rsid w:val="00383204"/>
    <w:rsid w:val="0038349A"/>
    <w:rsid w:val="00383FF3"/>
    <w:rsid w:val="0038432A"/>
    <w:rsid w:val="00384C1F"/>
    <w:rsid w:val="00384C59"/>
    <w:rsid w:val="00384F5D"/>
    <w:rsid w:val="00385481"/>
    <w:rsid w:val="00385DC3"/>
    <w:rsid w:val="003866B4"/>
    <w:rsid w:val="00386EEF"/>
    <w:rsid w:val="00387164"/>
    <w:rsid w:val="00387C8A"/>
    <w:rsid w:val="00387DA8"/>
    <w:rsid w:val="00390120"/>
    <w:rsid w:val="0039075B"/>
    <w:rsid w:val="0039096E"/>
    <w:rsid w:val="00390E17"/>
    <w:rsid w:val="00390FF2"/>
    <w:rsid w:val="00391229"/>
    <w:rsid w:val="00391260"/>
    <w:rsid w:val="0039137A"/>
    <w:rsid w:val="003915CD"/>
    <w:rsid w:val="00391639"/>
    <w:rsid w:val="00391B87"/>
    <w:rsid w:val="00391D76"/>
    <w:rsid w:val="003920B5"/>
    <w:rsid w:val="003921A7"/>
    <w:rsid w:val="0039264B"/>
    <w:rsid w:val="00393C3C"/>
    <w:rsid w:val="00393E92"/>
    <w:rsid w:val="00393EEF"/>
    <w:rsid w:val="00394394"/>
    <w:rsid w:val="003944BF"/>
    <w:rsid w:val="00394503"/>
    <w:rsid w:val="00394AF2"/>
    <w:rsid w:val="00394C0B"/>
    <w:rsid w:val="00395DEF"/>
    <w:rsid w:val="00396946"/>
    <w:rsid w:val="00396D49"/>
    <w:rsid w:val="00397195"/>
    <w:rsid w:val="00397D5B"/>
    <w:rsid w:val="00397F85"/>
    <w:rsid w:val="003A016D"/>
    <w:rsid w:val="003A04E8"/>
    <w:rsid w:val="003A068E"/>
    <w:rsid w:val="003A07F3"/>
    <w:rsid w:val="003A0B63"/>
    <w:rsid w:val="003A11DF"/>
    <w:rsid w:val="003A13DC"/>
    <w:rsid w:val="003A13EB"/>
    <w:rsid w:val="003A1844"/>
    <w:rsid w:val="003A1B65"/>
    <w:rsid w:val="003A3782"/>
    <w:rsid w:val="003A380B"/>
    <w:rsid w:val="003A3934"/>
    <w:rsid w:val="003A4396"/>
    <w:rsid w:val="003A4D10"/>
    <w:rsid w:val="003A587E"/>
    <w:rsid w:val="003A5F22"/>
    <w:rsid w:val="003A6064"/>
    <w:rsid w:val="003A61F1"/>
    <w:rsid w:val="003A66F4"/>
    <w:rsid w:val="003A69D3"/>
    <w:rsid w:val="003A6CCD"/>
    <w:rsid w:val="003A6F02"/>
    <w:rsid w:val="003B07C9"/>
    <w:rsid w:val="003B0F17"/>
    <w:rsid w:val="003B1545"/>
    <w:rsid w:val="003B2709"/>
    <w:rsid w:val="003B284E"/>
    <w:rsid w:val="003B2F61"/>
    <w:rsid w:val="003B2F96"/>
    <w:rsid w:val="003B31F6"/>
    <w:rsid w:val="003B3498"/>
    <w:rsid w:val="003B44CC"/>
    <w:rsid w:val="003B4811"/>
    <w:rsid w:val="003B4BC7"/>
    <w:rsid w:val="003B51C6"/>
    <w:rsid w:val="003B52A9"/>
    <w:rsid w:val="003B58DE"/>
    <w:rsid w:val="003B6F4E"/>
    <w:rsid w:val="003B71E4"/>
    <w:rsid w:val="003B749F"/>
    <w:rsid w:val="003B74EB"/>
    <w:rsid w:val="003B776B"/>
    <w:rsid w:val="003C02CD"/>
    <w:rsid w:val="003C099E"/>
    <w:rsid w:val="003C11F5"/>
    <w:rsid w:val="003C279C"/>
    <w:rsid w:val="003C2936"/>
    <w:rsid w:val="003C29C1"/>
    <w:rsid w:val="003C2DD9"/>
    <w:rsid w:val="003C2EC8"/>
    <w:rsid w:val="003C3283"/>
    <w:rsid w:val="003C3B06"/>
    <w:rsid w:val="003C3F50"/>
    <w:rsid w:val="003C42EF"/>
    <w:rsid w:val="003C43F3"/>
    <w:rsid w:val="003C4969"/>
    <w:rsid w:val="003C4BC2"/>
    <w:rsid w:val="003C5007"/>
    <w:rsid w:val="003C5E80"/>
    <w:rsid w:val="003C5F39"/>
    <w:rsid w:val="003C62EA"/>
    <w:rsid w:val="003C6921"/>
    <w:rsid w:val="003C755A"/>
    <w:rsid w:val="003C75C8"/>
    <w:rsid w:val="003D039D"/>
    <w:rsid w:val="003D0830"/>
    <w:rsid w:val="003D08E2"/>
    <w:rsid w:val="003D0E7C"/>
    <w:rsid w:val="003D137E"/>
    <w:rsid w:val="003D15A6"/>
    <w:rsid w:val="003D218D"/>
    <w:rsid w:val="003D2827"/>
    <w:rsid w:val="003D2B01"/>
    <w:rsid w:val="003D2D98"/>
    <w:rsid w:val="003D3405"/>
    <w:rsid w:val="003D4479"/>
    <w:rsid w:val="003D4633"/>
    <w:rsid w:val="003D4A7D"/>
    <w:rsid w:val="003D4BE5"/>
    <w:rsid w:val="003D50E0"/>
    <w:rsid w:val="003D51D2"/>
    <w:rsid w:val="003D5289"/>
    <w:rsid w:val="003D542E"/>
    <w:rsid w:val="003D5AB2"/>
    <w:rsid w:val="003D60D8"/>
    <w:rsid w:val="003D6153"/>
    <w:rsid w:val="003D63DE"/>
    <w:rsid w:val="003D6830"/>
    <w:rsid w:val="003D6915"/>
    <w:rsid w:val="003D6939"/>
    <w:rsid w:val="003D6A31"/>
    <w:rsid w:val="003D7651"/>
    <w:rsid w:val="003D78C4"/>
    <w:rsid w:val="003D7C16"/>
    <w:rsid w:val="003E087A"/>
    <w:rsid w:val="003E08CF"/>
    <w:rsid w:val="003E0D6C"/>
    <w:rsid w:val="003E0F62"/>
    <w:rsid w:val="003E1060"/>
    <w:rsid w:val="003E16D2"/>
    <w:rsid w:val="003E19A9"/>
    <w:rsid w:val="003E1D01"/>
    <w:rsid w:val="003E2125"/>
    <w:rsid w:val="003E21EB"/>
    <w:rsid w:val="003E3D4C"/>
    <w:rsid w:val="003E435D"/>
    <w:rsid w:val="003E498F"/>
    <w:rsid w:val="003E4A94"/>
    <w:rsid w:val="003E4D7D"/>
    <w:rsid w:val="003E5341"/>
    <w:rsid w:val="003E53D8"/>
    <w:rsid w:val="003E5803"/>
    <w:rsid w:val="003E5CC1"/>
    <w:rsid w:val="003E699E"/>
    <w:rsid w:val="003E734A"/>
    <w:rsid w:val="003E736A"/>
    <w:rsid w:val="003E7378"/>
    <w:rsid w:val="003E7657"/>
    <w:rsid w:val="003E76AA"/>
    <w:rsid w:val="003E79BC"/>
    <w:rsid w:val="003E7B5C"/>
    <w:rsid w:val="003F08C8"/>
    <w:rsid w:val="003F0B68"/>
    <w:rsid w:val="003F0D81"/>
    <w:rsid w:val="003F1015"/>
    <w:rsid w:val="003F1283"/>
    <w:rsid w:val="003F1292"/>
    <w:rsid w:val="003F13CE"/>
    <w:rsid w:val="003F1443"/>
    <w:rsid w:val="003F18FC"/>
    <w:rsid w:val="003F19DD"/>
    <w:rsid w:val="003F1A05"/>
    <w:rsid w:val="003F25F6"/>
    <w:rsid w:val="003F2AD3"/>
    <w:rsid w:val="003F2CF3"/>
    <w:rsid w:val="003F2F31"/>
    <w:rsid w:val="003F36F2"/>
    <w:rsid w:val="003F397B"/>
    <w:rsid w:val="003F3A51"/>
    <w:rsid w:val="003F3A73"/>
    <w:rsid w:val="003F3CFC"/>
    <w:rsid w:val="003F49E6"/>
    <w:rsid w:val="003F4A3D"/>
    <w:rsid w:val="003F4DE4"/>
    <w:rsid w:val="003F551D"/>
    <w:rsid w:val="003F55D6"/>
    <w:rsid w:val="003F5F07"/>
    <w:rsid w:val="003F6067"/>
    <w:rsid w:val="003F6CAA"/>
    <w:rsid w:val="003F73E6"/>
    <w:rsid w:val="003F7504"/>
    <w:rsid w:val="003F79A0"/>
    <w:rsid w:val="003F7CF8"/>
    <w:rsid w:val="003F7DCC"/>
    <w:rsid w:val="004009C0"/>
    <w:rsid w:val="00400C23"/>
    <w:rsid w:val="00401290"/>
    <w:rsid w:val="00401C99"/>
    <w:rsid w:val="00401DAE"/>
    <w:rsid w:val="0040245A"/>
    <w:rsid w:val="0040249A"/>
    <w:rsid w:val="00402A60"/>
    <w:rsid w:val="004038B2"/>
    <w:rsid w:val="00403D4E"/>
    <w:rsid w:val="0040429F"/>
    <w:rsid w:val="004042D2"/>
    <w:rsid w:val="004054E4"/>
    <w:rsid w:val="00405932"/>
    <w:rsid w:val="004063EC"/>
    <w:rsid w:val="004063EF"/>
    <w:rsid w:val="0040774D"/>
    <w:rsid w:val="00407A8C"/>
    <w:rsid w:val="00410045"/>
    <w:rsid w:val="00410080"/>
    <w:rsid w:val="00410E19"/>
    <w:rsid w:val="004110C8"/>
    <w:rsid w:val="0041119C"/>
    <w:rsid w:val="004117A8"/>
    <w:rsid w:val="00411807"/>
    <w:rsid w:val="00412624"/>
    <w:rsid w:val="004139FD"/>
    <w:rsid w:val="00413B55"/>
    <w:rsid w:val="00413DD0"/>
    <w:rsid w:val="00415015"/>
    <w:rsid w:val="004151AD"/>
    <w:rsid w:val="004153E1"/>
    <w:rsid w:val="004159AC"/>
    <w:rsid w:val="00415AAD"/>
    <w:rsid w:val="00416768"/>
    <w:rsid w:val="00416A20"/>
    <w:rsid w:val="00416A2A"/>
    <w:rsid w:val="00417152"/>
    <w:rsid w:val="0041753D"/>
    <w:rsid w:val="004175E6"/>
    <w:rsid w:val="0041791D"/>
    <w:rsid w:val="00417CC0"/>
    <w:rsid w:val="00420491"/>
    <w:rsid w:val="004208D3"/>
    <w:rsid w:val="00420B1B"/>
    <w:rsid w:val="004210BB"/>
    <w:rsid w:val="00421E56"/>
    <w:rsid w:val="004221F6"/>
    <w:rsid w:val="00422BB7"/>
    <w:rsid w:val="00422C47"/>
    <w:rsid w:val="00423449"/>
    <w:rsid w:val="004235C6"/>
    <w:rsid w:val="00424217"/>
    <w:rsid w:val="00424890"/>
    <w:rsid w:val="00424994"/>
    <w:rsid w:val="004249B2"/>
    <w:rsid w:val="00424F28"/>
    <w:rsid w:val="00424F85"/>
    <w:rsid w:val="00424FA6"/>
    <w:rsid w:val="00425154"/>
    <w:rsid w:val="004253AB"/>
    <w:rsid w:val="00425791"/>
    <w:rsid w:val="00425D5C"/>
    <w:rsid w:val="004267A0"/>
    <w:rsid w:val="00426FA0"/>
    <w:rsid w:val="004272B1"/>
    <w:rsid w:val="0042745C"/>
    <w:rsid w:val="00427813"/>
    <w:rsid w:val="00427828"/>
    <w:rsid w:val="00427A18"/>
    <w:rsid w:val="00430661"/>
    <w:rsid w:val="00432350"/>
    <w:rsid w:val="004323DA"/>
    <w:rsid w:val="00432881"/>
    <w:rsid w:val="00432D55"/>
    <w:rsid w:val="00432DA2"/>
    <w:rsid w:val="00433CDF"/>
    <w:rsid w:val="0043427F"/>
    <w:rsid w:val="0043456B"/>
    <w:rsid w:val="004347EA"/>
    <w:rsid w:val="0043488B"/>
    <w:rsid w:val="00434AC8"/>
    <w:rsid w:val="00435747"/>
    <w:rsid w:val="00435906"/>
    <w:rsid w:val="00435983"/>
    <w:rsid w:val="00436155"/>
    <w:rsid w:val="004361FB"/>
    <w:rsid w:val="004365F9"/>
    <w:rsid w:val="0043666A"/>
    <w:rsid w:val="00436AA7"/>
    <w:rsid w:val="00437D9C"/>
    <w:rsid w:val="00440359"/>
    <w:rsid w:val="0044042D"/>
    <w:rsid w:val="0044044F"/>
    <w:rsid w:val="004406FE"/>
    <w:rsid w:val="00440E5F"/>
    <w:rsid w:val="00441312"/>
    <w:rsid w:val="00441AED"/>
    <w:rsid w:val="00441EB2"/>
    <w:rsid w:val="00442AA3"/>
    <w:rsid w:val="00442B99"/>
    <w:rsid w:val="00442CB6"/>
    <w:rsid w:val="00443411"/>
    <w:rsid w:val="0044348B"/>
    <w:rsid w:val="00443655"/>
    <w:rsid w:val="00443B44"/>
    <w:rsid w:val="00444D02"/>
    <w:rsid w:val="00444E43"/>
    <w:rsid w:val="00445792"/>
    <w:rsid w:val="00445938"/>
    <w:rsid w:val="00445B17"/>
    <w:rsid w:val="00445B86"/>
    <w:rsid w:val="00445ED6"/>
    <w:rsid w:val="00446298"/>
    <w:rsid w:val="00447158"/>
    <w:rsid w:val="004472CD"/>
    <w:rsid w:val="004475AB"/>
    <w:rsid w:val="004476E9"/>
    <w:rsid w:val="00447A6F"/>
    <w:rsid w:val="00447CDE"/>
    <w:rsid w:val="004510BD"/>
    <w:rsid w:val="004510DE"/>
    <w:rsid w:val="004513E3"/>
    <w:rsid w:val="00451467"/>
    <w:rsid w:val="00451511"/>
    <w:rsid w:val="004518F6"/>
    <w:rsid w:val="00451C74"/>
    <w:rsid w:val="00451D34"/>
    <w:rsid w:val="0045221C"/>
    <w:rsid w:val="0045245D"/>
    <w:rsid w:val="00453530"/>
    <w:rsid w:val="00453887"/>
    <w:rsid w:val="00453A3F"/>
    <w:rsid w:val="00453D16"/>
    <w:rsid w:val="00453F00"/>
    <w:rsid w:val="00453F6E"/>
    <w:rsid w:val="00453FAE"/>
    <w:rsid w:val="004541F1"/>
    <w:rsid w:val="00454576"/>
    <w:rsid w:val="00454C6D"/>
    <w:rsid w:val="004559B5"/>
    <w:rsid w:val="00455FE3"/>
    <w:rsid w:val="004568BA"/>
    <w:rsid w:val="00456BB2"/>
    <w:rsid w:val="004570F6"/>
    <w:rsid w:val="004572DD"/>
    <w:rsid w:val="004572E7"/>
    <w:rsid w:val="004574C1"/>
    <w:rsid w:val="0045767D"/>
    <w:rsid w:val="00460636"/>
    <w:rsid w:val="00460642"/>
    <w:rsid w:val="00460847"/>
    <w:rsid w:val="00460FFF"/>
    <w:rsid w:val="00461493"/>
    <w:rsid w:val="004616CB"/>
    <w:rsid w:val="0046187B"/>
    <w:rsid w:val="00461B02"/>
    <w:rsid w:val="00462910"/>
    <w:rsid w:val="004629F6"/>
    <w:rsid w:val="00462FCE"/>
    <w:rsid w:val="004639FA"/>
    <w:rsid w:val="00463F01"/>
    <w:rsid w:val="00464024"/>
    <w:rsid w:val="00464229"/>
    <w:rsid w:val="004643CE"/>
    <w:rsid w:val="00464853"/>
    <w:rsid w:val="00465413"/>
    <w:rsid w:val="00467AB0"/>
    <w:rsid w:val="00470499"/>
    <w:rsid w:val="00470769"/>
    <w:rsid w:val="00470AF7"/>
    <w:rsid w:val="00470AF8"/>
    <w:rsid w:val="00470C28"/>
    <w:rsid w:val="0047118E"/>
    <w:rsid w:val="004712F0"/>
    <w:rsid w:val="00471C11"/>
    <w:rsid w:val="004722C2"/>
    <w:rsid w:val="00472590"/>
    <w:rsid w:val="00472CE2"/>
    <w:rsid w:val="0047372F"/>
    <w:rsid w:val="00473774"/>
    <w:rsid w:val="004738B1"/>
    <w:rsid w:val="0047463A"/>
    <w:rsid w:val="00474914"/>
    <w:rsid w:val="00474A1A"/>
    <w:rsid w:val="00474D77"/>
    <w:rsid w:val="00475204"/>
    <w:rsid w:val="004755E7"/>
    <w:rsid w:val="004757C7"/>
    <w:rsid w:val="004758DD"/>
    <w:rsid w:val="00475D3C"/>
    <w:rsid w:val="00475D9A"/>
    <w:rsid w:val="0047611C"/>
    <w:rsid w:val="00476BE3"/>
    <w:rsid w:val="0047774C"/>
    <w:rsid w:val="004778E4"/>
    <w:rsid w:val="004802A2"/>
    <w:rsid w:val="0048030C"/>
    <w:rsid w:val="00480961"/>
    <w:rsid w:val="0048098A"/>
    <w:rsid w:val="00480BA7"/>
    <w:rsid w:val="00480D92"/>
    <w:rsid w:val="00480DF3"/>
    <w:rsid w:val="00481692"/>
    <w:rsid w:val="004818B6"/>
    <w:rsid w:val="004819BC"/>
    <w:rsid w:val="00481DD6"/>
    <w:rsid w:val="00482CDA"/>
    <w:rsid w:val="00483339"/>
    <w:rsid w:val="00483ED4"/>
    <w:rsid w:val="00483F7D"/>
    <w:rsid w:val="004843FE"/>
    <w:rsid w:val="004844CD"/>
    <w:rsid w:val="00484786"/>
    <w:rsid w:val="00484D8C"/>
    <w:rsid w:val="00484F05"/>
    <w:rsid w:val="00485DFD"/>
    <w:rsid w:val="00485E57"/>
    <w:rsid w:val="00486135"/>
    <w:rsid w:val="00486271"/>
    <w:rsid w:val="00486423"/>
    <w:rsid w:val="00487673"/>
    <w:rsid w:val="00490134"/>
    <w:rsid w:val="004902D0"/>
    <w:rsid w:val="00490D3F"/>
    <w:rsid w:val="00491758"/>
    <w:rsid w:val="00491CC2"/>
    <w:rsid w:val="004926A0"/>
    <w:rsid w:val="00492F1C"/>
    <w:rsid w:val="00493444"/>
    <w:rsid w:val="00493BAA"/>
    <w:rsid w:val="00493D20"/>
    <w:rsid w:val="00494119"/>
    <w:rsid w:val="004942CB"/>
    <w:rsid w:val="004947F0"/>
    <w:rsid w:val="00494BE3"/>
    <w:rsid w:val="00495509"/>
    <w:rsid w:val="00495B15"/>
    <w:rsid w:val="00495BA6"/>
    <w:rsid w:val="004963A4"/>
    <w:rsid w:val="004965D7"/>
    <w:rsid w:val="00496837"/>
    <w:rsid w:val="00496C73"/>
    <w:rsid w:val="00496E7F"/>
    <w:rsid w:val="00497330"/>
    <w:rsid w:val="00497901"/>
    <w:rsid w:val="00497DAB"/>
    <w:rsid w:val="004A01C4"/>
    <w:rsid w:val="004A026B"/>
    <w:rsid w:val="004A0A24"/>
    <w:rsid w:val="004A1147"/>
    <w:rsid w:val="004A16EB"/>
    <w:rsid w:val="004A18B4"/>
    <w:rsid w:val="004A1DC9"/>
    <w:rsid w:val="004A1E99"/>
    <w:rsid w:val="004A1FBF"/>
    <w:rsid w:val="004A2220"/>
    <w:rsid w:val="004A2298"/>
    <w:rsid w:val="004A2B80"/>
    <w:rsid w:val="004A2C3C"/>
    <w:rsid w:val="004A34A9"/>
    <w:rsid w:val="004A491F"/>
    <w:rsid w:val="004A6661"/>
    <w:rsid w:val="004A6702"/>
    <w:rsid w:val="004A6A55"/>
    <w:rsid w:val="004A70AD"/>
    <w:rsid w:val="004A7476"/>
    <w:rsid w:val="004B0283"/>
    <w:rsid w:val="004B02F7"/>
    <w:rsid w:val="004B1268"/>
    <w:rsid w:val="004B12B6"/>
    <w:rsid w:val="004B1351"/>
    <w:rsid w:val="004B137C"/>
    <w:rsid w:val="004B1C4E"/>
    <w:rsid w:val="004B1F41"/>
    <w:rsid w:val="004B26B4"/>
    <w:rsid w:val="004B2850"/>
    <w:rsid w:val="004B2DC8"/>
    <w:rsid w:val="004B31F5"/>
    <w:rsid w:val="004B338E"/>
    <w:rsid w:val="004B363D"/>
    <w:rsid w:val="004B4910"/>
    <w:rsid w:val="004B5AF5"/>
    <w:rsid w:val="004B6021"/>
    <w:rsid w:val="004B62E6"/>
    <w:rsid w:val="004B6C21"/>
    <w:rsid w:val="004B734D"/>
    <w:rsid w:val="004C043B"/>
    <w:rsid w:val="004C0A1D"/>
    <w:rsid w:val="004C0D81"/>
    <w:rsid w:val="004C0F7F"/>
    <w:rsid w:val="004C1098"/>
    <w:rsid w:val="004C1543"/>
    <w:rsid w:val="004C1A71"/>
    <w:rsid w:val="004C1EE8"/>
    <w:rsid w:val="004C257D"/>
    <w:rsid w:val="004C2E2B"/>
    <w:rsid w:val="004C35A8"/>
    <w:rsid w:val="004C44A7"/>
    <w:rsid w:val="004C4E96"/>
    <w:rsid w:val="004C4FB5"/>
    <w:rsid w:val="004C5151"/>
    <w:rsid w:val="004C56D9"/>
    <w:rsid w:val="004C5AA0"/>
    <w:rsid w:val="004C629A"/>
    <w:rsid w:val="004C6599"/>
    <w:rsid w:val="004C68AA"/>
    <w:rsid w:val="004C7915"/>
    <w:rsid w:val="004C7C73"/>
    <w:rsid w:val="004C7DCD"/>
    <w:rsid w:val="004D023C"/>
    <w:rsid w:val="004D04C9"/>
    <w:rsid w:val="004D125A"/>
    <w:rsid w:val="004D2603"/>
    <w:rsid w:val="004D27F5"/>
    <w:rsid w:val="004D2887"/>
    <w:rsid w:val="004D3129"/>
    <w:rsid w:val="004D3881"/>
    <w:rsid w:val="004D4B9B"/>
    <w:rsid w:val="004D4FDF"/>
    <w:rsid w:val="004D5487"/>
    <w:rsid w:val="004D54A3"/>
    <w:rsid w:val="004D569C"/>
    <w:rsid w:val="004D5CDC"/>
    <w:rsid w:val="004D65FE"/>
    <w:rsid w:val="004D6F2A"/>
    <w:rsid w:val="004D705D"/>
    <w:rsid w:val="004D7104"/>
    <w:rsid w:val="004D731E"/>
    <w:rsid w:val="004D757C"/>
    <w:rsid w:val="004D7698"/>
    <w:rsid w:val="004D7AB4"/>
    <w:rsid w:val="004D7AEB"/>
    <w:rsid w:val="004D7ECA"/>
    <w:rsid w:val="004E047C"/>
    <w:rsid w:val="004E0618"/>
    <w:rsid w:val="004E0B1F"/>
    <w:rsid w:val="004E116D"/>
    <w:rsid w:val="004E1C3F"/>
    <w:rsid w:val="004E1D49"/>
    <w:rsid w:val="004E24EA"/>
    <w:rsid w:val="004E34B6"/>
    <w:rsid w:val="004E38B6"/>
    <w:rsid w:val="004E3F97"/>
    <w:rsid w:val="004E439F"/>
    <w:rsid w:val="004E5FB2"/>
    <w:rsid w:val="004E640D"/>
    <w:rsid w:val="004E688C"/>
    <w:rsid w:val="004E6BBF"/>
    <w:rsid w:val="004E6DA1"/>
    <w:rsid w:val="004E706C"/>
    <w:rsid w:val="004E754E"/>
    <w:rsid w:val="004E785E"/>
    <w:rsid w:val="004F0106"/>
    <w:rsid w:val="004F0E13"/>
    <w:rsid w:val="004F1B2E"/>
    <w:rsid w:val="004F1DB9"/>
    <w:rsid w:val="004F1FFE"/>
    <w:rsid w:val="004F34EA"/>
    <w:rsid w:val="004F3BBC"/>
    <w:rsid w:val="004F3CFF"/>
    <w:rsid w:val="004F498D"/>
    <w:rsid w:val="004F5985"/>
    <w:rsid w:val="004F5EEF"/>
    <w:rsid w:val="004F67AB"/>
    <w:rsid w:val="004F6802"/>
    <w:rsid w:val="004F6F30"/>
    <w:rsid w:val="004F6FF0"/>
    <w:rsid w:val="004F7533"/>
    <w:rsid w:val="004F79E8"/>
    <w:rsid w:val="004F7D54"/>
    <w:rsid w:val="004F7E11"/>
    <w:rsid w:val="00500E0C"/>
    <w:rsid w:val="005013F1"/>
    <w:rsid w:val="0050143E"/>
    <w:rsid w:val="00501874"/>
    <w:rsid w:val="00501C22"/>
    <w:rsid w:val="00501E4F"/>
    <w:rsid w:val="00502016"/>
    <w:rsid w:val="005022D8"/>
    <w:rsid w:val="00502722"/>
    <w:rsid w:val="005028A7"/>
    <w:rsid w:val="0050389B"/>
    <w:rsid w:val="00503A24"/>
    <w:rsid w:val="0050424A"/>
    <w:rsid w:val="0050467C"/>
    <w:rsid w:val="00504887"/>
    <w:rsid w:val="0050488D"/>
    <w:rsid w:val="0050493A"/>
    <w:rsid w:val="00506326"/>
    <w:rsid w:val="00507306"/>
    <w:rsid w:val="00507AFD"/>
    <w:rsid w:val="00507E9E"/>
    <w:rsid w:val="005102D1"/>
    <w:rsid w:val="005119D7"/>
    <w:rsid w:val="00512173"/>
    <w:rsid w:val="00512439"/>
    <w:rsid w:val="00512630"/>
    <w:rsid w:val="00512F74"/>
    <w:rsid w:val="00512FBA"/>
    <w:rsid w:val="005135A9"/>
    <w:rsid w:val="00514742"/>
    <w:rsid w:val="0051585B"/>
    <w:rsid w:val="00515C09"/>
    <w:rsid w:val="005160D7"/>
    <w:rsid w:val="00516698"/>
    <w:rsid w:val="005170A0"/>
    <w:rsid w:val="005207ED"/>
    <w:rsid w:val="00520874"/>
    <w:rsid w:val="00520A7B"/>
    <w:rsid w:val="00521202"/>
    <w:rsid w:val="00521396"/>
    <w:rsid w:val="005218DF"/>
    <w:rsid w:val="0052250C"/>
    <w:rsid w:val="00522585"/>
    <w:rsid w:val="00522736"/>
    <w:rsid w:val="00523404"/>
    <w:rsid w:val="005234C3"/>
    <w:rsid w:val="0052354B"/>
    <w:rsid w:val="00523736"/>
    <w:rsid w:val="00523B9F"/>
    <w:rsid w:val="00523BCD"/>
    <w:rsid w:val="00524034"/>
    <w:rsid w:val="0052467F"/>
    <w:rsid w:val="00524AAD"/>
    <w:rsid w:val="00524F8A"/>
    <w:rsid w:val="00525213"/>
    <w:rsid w:val="00525349"/>
    <w:rsid w:val="005253D8"/>
    <w:rsid w:val="00525716"/>
    <w:rsid w:val="00526870"/>
    <w:rsid w:val="005269EF"/>
    <w:rsid w:val="00527100"/>
    <w:rsid w:val="005273EA"/>
    <w:rsid w:val="005276F3"/>
    <w:rsid w:val="00530034"/>
    <w:rsid w:val="00530317"/>
    <w:rsid w:val="005306C3"/>
    <w:rsid w:val="00530797"/>
    <w:rsid w:val="005309ED"/>
    <w:rsid w:val="005313E2"/>
    <w:rsid w:val="0053159B"/>
    <w:rsid w:val="00531B40"/>
    <w:rsid w:val="00531F4F"/>
    <w:rsid w:val="00532804"/>
    <w:rsid w:val="005333DF"/>
    <w:rsid w:val="005339DE"/>
    <w:rsid w:val="00533F9E"/>
    <w:rsid w:val="0053403F"/>
    <w:rsid w:val="005340C2"/>
    <w:rsid w:val="0053424A"/>
    <w:rsid w:val="00534488"/>
    <w:rsid w:val="005346DB"/>
    <w:rsid w:val="00534BC5"/>
    <w:rsid w:val="00535546"/>
    <w:rsid w:val="00535EB2"/>
    <w:rsid w:val="00536311"/>
    <w:rsid w:val="005367D1"/>
    <w:rsid w:val="00536C12"/>
    <w:rsid w:val="00536E81"/>
    <w:rsid w:val="00536EBD"/>
    <w:rsid w:val="0053750C"/>
    <w:rsid w:val="005376CD"/>
    <w:rsid w:val="0053791C"/>
    <w:rsid w:val="00537A14"/>
    <w:rsid w:val="00540780"/>
    <w:rsid w:val="005407CF"/>
    <w:rsid w:val="00540A85"/>
    <w:rsid w:val="00541191"/>
    <w:rsid w:val="005411AF"/>
    <w:rsid w:val="00541DB5"/>
    <w:rsid w:val="00541E9D"/>
    <w:rsid w:val="005423FE"/>
    <w:rsid w:val="00542775"/>
    <w:rsid w:val="00542A48"/>
    <w:rsid w:val="00542AF1"/>
    <w:rsid w:val="0054315D"/>
    <w:rsid w:val="005436C1"/>
    <w:rsid w:val="005436CC"/>
    <w:rsid w:val="00543AE5"/>
    <w:rsid w:val="00543BBB"/>
    <w:rsid w:val="00543F53"/>
    <w:rsid w:val="00544229"/>
    <w:rsid w:val="00544456"/>
    <w:rsid w:val="00544D15"/>
    <w:rsid w:val="00544F24"/>
    <w:rsid w:val="00544F47"/>
    <w:rsid w:val="00544F94"/>
    <w:rsid w:val="0054556C"/>
    <w:rsid w:val="0054576C"/>
    <w:rsid w:val="00546534"/>
    <w:rsid w:val="00546754"/>
    <w:rsid w:val="00546D43"/>
    <w:rsid w:val="00546E91"/>
    <w:rsid w:val="0054703E"/>
    <w:rsid w:val="005477CB"/>
    <w:rsid w:val="0055076E"/>
    <w:rsid w:val="005507C2"/>
    <w:rsid w:val="00551052"/>
    <w:rsid w:val="00551253"/>
    <w:rsid w:val="0055131B"/>
    <w:rsid w:val="00551539"/>
    <w:rsid w:val="00552249"/>
    <w:rsid w:val="00552C72"/>
    <w:rsid w:val="0055318A"/>
    <w:rsid w:val="005537F8"/>
    <w:rsid w:val="00554ABE"/>
    <w:rsid w:val="00554EEA"/>
    <w:rsid w:val="00554FDB"/>
    <w:rsid w:val="0055584F"/>
    <w:rsid w:val="00555907"/>
    <w:rsid w:val="00555BCE"/>
    <w:rsid w:val="00555F62"/>
    <w:rsid w:val="005560EA"/>
    <w:rsid w:val="00556123"/>
    <w:rsid w:val="0055659B"/>
    <w:rsid w:val="00556847"/>
    <w:rsid w:val="00557DF1"/>
    <w:rsid w:val="00560498"/>
    <w:rsid w:val="005605D4"/>
    <w:rsid w:val="00560811"/>
    <w:rsid w:val="00560870"/>
    <w:rsid w:val="00560D93"/>
    <w:rsid w:val="00560F0E"/>
    <w:rsid w:val="00561386"/>
    <w:rsid w:val="0056162B"/>
    <w:rsid w:val="00561DF3"/>
    <w:rsid w:val="00561E8E"/>
    <w:rsid w:val="00561EF2"/>
    <w:rsid w:val="00561F7D"/>
    <w:rsid w:val="005622BE"/>
    <w:rsid w:val="00562A18"/>
    <w:rsid w:val="00562D10"/>
    <w:rsid w:val="00562EB7"/>
    <w:rsid w:val="005636AF"/>
    <w:rsid w:val="00564088"/>
    <w:rsid w:val="0056434B"/>
    <w:rsid w:val="005643F5"/>
    <w:rsid w:val="00564CDC"/>
    <w:rsid w:val="0056562B"/>
    <w:rsid w:val="00566241"/>
    <w:rsid w:val="00566755"/>
    <w:rsid w:val="00566963"/>
    <w:rsid w:val="00566ED7"/>
    <w:rsid w:val="00567287"/>
    <w:rsid w:val="00567C0F"/>
    <w:rsid w:val="0057024C"/>
    <w:rsid w:val="0057060A"/>
    <w:rsid w:val="00570777"/>
    <w:rsid w:val="00571E3E"/>
    <w:rsid w:val="00571EDC"/>
    <w:rsid w:val="00572262"/>
    <w:rsid w:val="005726C5"/>
    <w:rsid w:val="00572DFF"/>
    <w:rsid w:val="0057307E"/>
    <w:rsid w:val="00573247"/>
    <w:rsid w:val="005737EA"/>
    <w:rsid w:val="00573E26"/>
    <w:rsid w:val="005742EB"/>
    <w:rsid w:val="00574448"/>
    <w:rsid w:val="00574677"/>
    <w:rsid w:val="00574979"/>
    <w:rsid w:val="00574C3E"/>
    <w:rsid w:val="0057506D"/>
    <w:rsid w:val="00575CCF"/>
    <w:rsid w:val="00575FB5"/>
    <w:rsid w:val="00576E51"/>
    <w:rsid w:val="00577450"/>
    <w:rsid w:val="0058053B"/>
    <w:rsid w:val="00581147"/>
    <w:rsid w:val="00581151"/>
    <w:rsid w:val="00581CD3"/>
    <w:rsid w:val="005827F0"/>
    <w:rsid w:val="00583412"/>
    <w:rsid w:val="0058373D"/>
    <w:rsid w:val="005838D8"/>
    <w:rsid w:val="00583BF2"/>
    <w:rsid w:val="005848F5"/>
    <w:rsid w:val="005849D1"/>
    <w:rsid w:val="00585019"/>
    <w:rsid w:val="005851A5"/>
    <w:rsid w:val="00585213"/>
    <w:rsid w:val="005858E8"/>
    <w:rsid w:val="005864B3"/>
    <w:rsid w:val="0058657F"/>
    <w:rsid w:val="00586689"/>
    <w:rsid w:val="00586F2D"/>
    <w:rsid w:val="00587163"/>
    <w:rsid w:val="005871F7"/>
    <w:rsid w:val="00587B6F"/>
    <w:rsid w:val="005900B4"/>
    <w:rsid w:val="005906BC"/>
    <w:rsid w:val="00590738"/>
    <w:rsid w:val="00590EE7"/>
    <w:rsid w:val="00591307"/>
    <w:rsid w:val="00591660"/>
    <w:rsid w:val="005919AC"/>
    <w:rsid w:val="00591DE3"/>
    <w:rsid w:val="00591EA6"/>
    <w:rsid w:val="00592586"/>
    <w:rsid w:val="005926FF"/>
    <w:rsid w:val="00593364"/>
    <w:rsid w:val="00593E8B"/>
    <w:rsid w:val="00593E98"/>
    <w:rsid w:val="005940BB"/>
    <w:rsid w:val="00594D60"/>
    <w:rsid w:val="00594EE9"/>
    <w:rsid w:val="00594FF9"/>
    <w:rsid w:val="005951EA"/>
    <w:rsid w:val="005951F9"/>
    <w:rsid w:val="005952BC"/>
    <w:rsid w:val="005953C5"/>
    <w:rsid w:val="00595553"/>
    <w:rsid w:val="005955AA"/>
    <w:rsid w:val="00595E84"/>
    <w:rsid w:val="00595EEA"/>
    <w:rsid w:val="005964E9"/>
    <w:rsid w:val="00596850"/>
    <w:rsid w:val="00596B38"/>
    <w:rsid w:val="00596EDF"/>
    <w:rsid w:val="00597D49"/>
    <w:rsid w:val="00597E31"/>
    <w:rsid w:val="005A0252"/>
    <w:rsid w:val="005A037D"/>
    <w:rsid w:val="005A08E9"/>
    <w:rsid w:val="005A0A87"/>
    <w:rsid w:val="005A14E8"/>
    <w:rsid w:val="005A290C"/>
    <w:rsid w:val="005A2E80"/>
    <w:rsid w:val="005A4FF8"/>
    <w:rsid w:val="005A50EE"/>
    <w:rsid w:val="005A533B"/>
    <w:rsid w:val="005A6941"/>
    <w:rsid w:val="005A6A43"/>
    <w:rsid w:val="005A6F02"/>
    <w:rsid w:val="005A6F36"/>
    <w:rsid w:val="005B02BA"/>
    <w:rsid w:val="005B03B4"/>
    <w:rsid w:val="005B0543"/>
    <w:rsid w:val="005B072D"/>
    <w:rsid w:val="005B0A7B"/>
    <w:rsid w:val="005B0D14"/>
    <w:rsid w:val="005B0D15"/>
    <w:rsid w:val="005B1291"/>
    <w:rsid w:val="005B2012"/>
    <w:rsid w:val="005B230B"/>
    <w:rsid w:val="005B23B8"/>
    <w:rsid w:val="005B2C2C"/>
    <w:rsid w:val="005B488C"/>
    <w:rsid w:val="005B4901"/>
    <w:rsid w:val="005B4A81"/>
    <w:rsid w:val="005B4ADB"/>
    <w:rsid w:val="005B4E0D"/>
    <w:rsid w:val="005B5046"/>
    <w:rsid w:val="005B506E"/>
    <w:rsid w:val="005B522C"/>
    <w:rsid w:val="005B5540"/>
    <w:rsid w:val="005B55B8"/>
    <w:rsid w:val="005B5621"/>
    <w:rsid w:val="005B591F"/>
    <w:rsid w:val="005B5A45"/>
    <w:rsid w:val="005B6210"/>
    <w:rsid w:val="005B6593"/>
    <w:rsid w:val="005B69E2"/>
    <w:rsid w:val="005B6A31"/>
    <w:rsid w:val="005B7752"/>
    <w:rsid w:val="005B787E"/>
    <w:rsid w:val="005B7A61"/>
    <w:rsid w:val="005C0509"/>
    <w:rsid w:val="005C231A"/>
    <w:rsid w:val="005C26CB"/>
    <w:rsid w:val="005C2BAD"/>
    <w:rsid w:val="005C3323"/>
    <w:rsid w:val="005C3A6D"/>
    <w:rsid w:val="005C3D23"/>
    <w:rsid w:val="005C41FA"/>
    <w:rsid w:val="005C474F"/>
    <w:rsid w:val="005C4B8A"/>
    <w:rsid w:val="005C4FF0"/>
    <w:rsid w:val="005C546C"/>
    <w:rsid w:val="005C5651"/>
    <w:rsid w:val="005C5E1F"/>
    <w:rsid w:val="005C5EE3"/>
    <w:rsid w:val="005C60D1"/>
    <w:rsid w:val="005C6290"/>
    <w:rsid w:val="005C63FC"/>
    <w:rsid w:val="005C66F5"/>
    <w:rsid w:val="005C6795"/>
    <w:rsid w:val="005C7155"/>
    <w:rsid w:val="005C7796"/>
    <w:rsid w:val="005C7A01"/>
    <w:rsid w:val="005D019F"/>
    <w:rsid w:val="005D0212"/>
    <w:rsid w:val="005D05D2"/>
    <w:rsid w:val="005D10B8"/>
    <w:rsid w:val="005D136E"/>
    <w:rsid w:val="005D1BB4"/>
    <w:rsid w:val="005D1DBA"/>
    <w:rsid w:val="005D2C51"/>
    <w:rsid w:val="005D35F2"/>
    <w:rsid w:val="005D3ADE"/>
    <w:rsid w:val="005D4920"/>
    <w:rsid w:val="005D4A4D"/>
    <w:rsid w:val="005D4F99"/>
    <w:rsid w:val="005D5014"/>
    <w:rsid w:val="005D516B"/>
    <w:rsid w:val="005D5E90"/>
    <w:rsid w:val="005D601D"/>
    <w:rsid w:val="005D6996"/>
    <w:rsid w:val="005D7107"/>
    <w:rsid w:val="005D75B8"/>
    <w:rsid w:val="005D7C24"/>
    <w:rsid w:val="005D7CBB"/>
    <w:rsid w:val="005D7D6F"/>
    <w:rsid w:val="005D7EC0"/>
    <w:rsid w:val="005D7F86"/>
    <w:rsid w:val="005E04F9"/>
    <w:rsid w:val="005E0617"/>
    <w:rsid w:val="005E0AF4"/>
    <w:rsid w:val="005E0E0D"/>
    <w:rsid w:val="005E1041"/>
    <w:rsid w:val="005E1B50"/>
    <w:rsid w:val="005E1E7C"/>
    <w:rsid w:val="005E1E82"/>
    <w:rsid w:val="005E219A"/>
    <w:rsid w:val="005E2534"/>
    <w:rsid w:val="005E29D4"/>
    <w:rsid w:val="005E2A40"/>
    <w:rsid w:val="005E2D46"/>
    <w:rsid w:val="005E2E7C"/>
    <w:rsid w:val="005E33D8"/>
    <w:rsid w:val="005E3DED"/>
    <w:rsid w:val="005E4508"/>
    <w:rsid w:val="005E4E7B"/>
    <w:rsid w:val="005E531F"/>
    <w:rsid w:val="005E5948"/>
    <w:rsid w:val="005E5E6D"/>
    <w:rsid w:val="005E6458"/>
    <w:rsid w:val="005E6D76"/>
    <w:rsid w:val="005E6EFB"/>
    <w:rsid w:val="005E76CB"/>
    <w:rsid w:val="005E7861"/>
    <w:rsid w:val="005F08E9"/>
    <w:rsid w:val="005F094C"/>
    <w:rsid w:val="005F0D6E"/>
    <w:rsid w:val="005F13AE"/>
    <w:rsid w:val="005F19C8"/>
    <w:rsid w:val="005F24E8"/>
    <w:rsid w:val="005F29D2"/>
    <w:rsid w:val="005F2FF0"/>
    <w:rsid w:val="005F3657"/>
    <w:rsid w:val="005F36A0"/>
    <w:rsid w:val="005F3852"/>
    <w:rsid w:val="005F3D13"/>
    <w:rsid w:val="005F4C54"/>
    <w:rsid w:val="005F4DEE"/>
    <w:rsid w:val="005F53D6"/>
    <w:rsid w:val="005F563A"/>
    <w:rsid w:val="005F624C"/>
    <w:rsid w:val="005F73B3"/>
    <w:rsid w:val="005F7C66"/>
    <w:rsid w:val="006005DA"/>
    <w:rsid w:val="00600870"/>
    <w:rsid w:val="00600ECB"/>
    <w:rsid w:val="0060175B"/>
    <w:rsid w:val="0060178E"/>
    <w:rsid w:val="00602037"/>
    <w:rsid w:val="006025BF"/>
    <w:rsid w:val="00602762"/>
    <w:rsid w:val="00602830"/>
    <w:rsid w:val="0060283A"/>
    <w:rsid w:val="00602D38"/>
    <w:rsid w:val="00602FE0"/>
    <w:rsid w:val="00603765"/>
    <w:rsid w:val="00603BD3"/>
    <w:rsid w:val="00604032"/>
    <w:rsid w:val="00604471"/>
    <w:rsid w:val="006051BE"/>
    <w:rsid w:val="0060687B"/>
    <w:rsid w:val="006070B7"/>
    <w:rsid w:val="006076B2"/>
    <w:rsid w:val="0060776B"/>
    <w:rsid w:val="00607F83"/>
    <w:rsid w:val="00610726"/>
    <w:rsid w:val="00610BC8"/>
    <w:rsid w:val="00610DD7"/>
    <w:rsid w:val="00611681"/>
    <w:rsid w:val="006116DB"/>
    <w:rsid w:val="0061200D"/>
    <w:rsid w:val="00612635"/>
    <w:rsid w:val="00612D50"/>
    <w:rsid w:val="00612F14"/>
    <w:rsid w:val="00612F5D"/>
    <w:rsid w:val="00613564"/>
    <w:rsid w:val="00613871"/>
    <w:rsid w:val="00613C5E"/>
    <w:rsid w:val="00614022"/>
    <w:rsid w:val="00614A8D"/>
    <w:rsid w:val="00614F82"/>
    <w:rsid w:val="006151E6"/>
    <w:rsid w:val="006152E6"/>
    <w:rsid w:val="00615A20"/>
    <w:rsid w:val="00616296"/>
    <w:rsid w:val="006163BE"/>
    <w:rsid w:val="006166D1"/>
    <w:rsid w:val="00616E54"/>
    <w:rsid w:val="00616FD2"/>
    <w:rsid w:val="00617015"/>
    <w:rsid w:val="006174A0"/>
    <w:rsid w:val="0061788C"/>
    <w:rsid w:val="006179CF"/>
    <w:rsid w:val="00617FEC"/>
    <w:rsid w:val="006201E6"/>
    <w:rsid w:val="006206A2"/>
    <w:rsid w:val="00620848"/>
    <w:rsid w:val="00621653"/>
    <w:rsid w:val="00621757"/>
    <w:rsid w:val="00621EAA"/>
    <w:rsid w:val="0062292C"/>
    <w:rsid w:val="00622A22"/>
    <w:rsid w:val="00622A56"/>
    <w:rsid w:val="00622D7D"/>
    <w:rsid w:val="00623077"/>
    <w:rsid w:val="006238D6"/>
    <w:rsid w:val="00623FE0"/>
    <w:rsid w:val="00624138"/>
    <w:rsid w:val="00624574"/>
    <w:rsid w:val="006249DA"/>
    <w:rsid w:val="00625495"/>
    <w:rsid w:val="006254DA"/>
    <w:rsid w:val="006266C4"/>
    <w:rsid w:val="00626E55"/>
    <w:rsid w:val="00627848"/>
    <w:rsid w:val="00630B40"/>
    <w:rsid w:val="00630FE6"/>
    <w:rsid w:val="00631381"/>
    <w:rsid w:val="006331F2"/>
    <w:rsid w:val="00633A97"/>
    <w:rsid w:val="00634330"/>
    <w:rsid w:val="00634D8D"/>
    <w:rsid w:val="00635283"/>
    <w:rsid w:val="0063535E"/>
    <w:rsid w:val="00635410"/>
    <w:rsid w:val="0063554C"/>
    <w:rsid w:val="00635FD6"/>
    <w:rsid w:val="006360D5"/>
    <w:rsid w:val="00636638"/>
    <w:rsid w:val="00636B58"/>
    <w:rsid w:val="00636BDD"/>
    <w:rsid w:val="00636D26"/>
    <w:rsid w:val="0063707E"/>
    <w:rsid w:val="006371F4"/>
    <w:rsid w:val="00637597"/>
    <w:rsid w:val="00637835"/>
    <w:rsid w:val="0063785C"/>
    <w:rsid w:val="00640278"/>
    <w:rsid w:val="00640B48"/>
    <w:rsid w:val="00641208"/>
    <w:rsid w:val="0064190E"/>
    <w:rsid w:val="00641CB7"/>
    <w:rsid w:val="006420C6"/>
    <w:rsid w:val="00642548"/>
    <w:rsid w:val="00642797"/>
    <w:rsid w:val="006431F4"/>
    <w:rsid w:val="00645970"/>
    <w:rsid w:val="00645B73"/>
    <w:rsid w:val="00645F96"/>
    <w:rsid w:val="006461EA"/>
    <w:rsid w:val="00646538"/>
    <w:rsid w:val="00646BBF"/>
    <w:rsid w:val="00646C69"/>
    <w:rsid w:val="00646CAD"/>
    <w:rsid w:val="00646D0F"/>
    <w:rsid w:val="00646FF7"/>
    <w:rsid w:val="00647314"/>
    <w:rsid w:val="0064759F"/>
    <w:rsid w:val="00647918"/>
    <w:rsid w:val="00647C07"/>
    <w:rsid w:val="006506B5"/>
    <w:rsid w:val="00650BC0"/>
    <w:rsid w:val="00650CEC"/>
    <w:rsid w:val="00650FC4"/>
    <w:rsid w:val="006517AA"/>
    <w:rsid w:val="00651C47"/>
    <w:rsid w:val="006522C3"/>
    <w:rsid w:val="0065247D"/>
    <w:rsid w:val="006524F8"/>
    <w:rsid w:val="00653325"/>
    <w:rsid w:val="00653841"/>
    <w:rsid w:val="00653F79"/>
    <w:rsid w:val="00656445"/>
    <w:rsid w:val="00656A1E"/>
    <w:rsid w:val="006571A2"/>
    <w:rsid w:val="006572F4"/>
    <w:rsid w:val="006573F3"/>
    <w:rsid w:val="006577B9"/>
    <w:rsid w:val="0065797E"/>
    <w:rsid w:val="00657AF1"/>
    <w:rsid w:val="00660C52"/>
    <w:rsid w:val="006613F9"/>
    <w:rsid w:val="006617B7"/>
    <w:rsid w:val="00661AB9"/>
    <w:rsid w:val="00662484"/>
    <w:rsid w:val="0066390C"/>
    <w:rsid w:val="006639D6"/>
    <w:rsid w:val="00663A65"/>
    <w:rsid w:val="00663C42"/>
    <w:rsid w:val="00663E3C"/>
    <w:rsid w:val="00663EB7"/>
    <w:rsid w:val="00664041"/>
    <w:rsid w:val="0066463B"/>
    <w:rsid w:val="00664BEF"/>
    <w:rsid w:val="0066568A"/>
    <w:rsid w:val="006656B9"/>
    <w:rsid w:val="006659D6"/>
    <w:rsid w:val="00665E01"/>
    <w:rsid w:val="006671E3"/>
    <w:rsid w:val="0066764F"/>
    <w:rsid w:val="00667C27"/>
    <w:rsid w:val="00667D69"/>
    <w:rsid w:val="00667DC6"/>
    <w:rsid w:val="006701D1"/>
    <w:rsid w:val="00670DEE"/>
    <w:rsid w:val="006719A1"/>
    <w:rsid w:val="00671C78"/>
    <w:rsid w:val="0067223E"/>
    <w:rsid w:val="00672539"/>
    <w:rsid w:val="0067277B"/>
    <w:rsid w:val="00672C8C"/>
    <w:rsid w:val="00672EFB"/>
    <w:rsid w:val="00672F24"/>
    <w:rsid w:val="00673240"/>
    <w:rsid w:val="00673BAB"/>
    <w:rsid w:val="00673F11"/>
    <w:rsid w:val="006747C5"/>
    <w:rsid w:val="0067515C"/>
    <w:rsid w:val="006752EF"/>
    <w:rsid w:val="0067592F"/>
    <w:rsid w:val="00675DCE"/>
    <w:rsid w:val="00676264"/>
    <w:rsid w:val="006762CE"/>
    <w:rsid w:val="006764A2"/>
    <w:rsid w:val="0067655D"/>
    <w:rsid w:val="006767D5"/>
    <w:rsid w:val="00676BCA"/>
    <w:rsid w:val="00676F8F"/>
    <w:rsid w:val="0067769C"/>
    <w:rsid w:val="00677B4B"/>
    <w:rsid w:val="006807ED"/>
    <w:rsid w:val="00680AB9"/>
    <w:rsid w:val="00680BAF"/>
    <w:rsid w:val="00680FDF"/>
    <w:rsid w:val="006818B5"/>
    <w:rsid w:val="0068191D"/>
    <w:rsid w:val="00682801"/>
    <w:rsid w:val="00682C04"/>
    <w:rsid w:val="006831F0"/>
    <w:rsid w:val="00683FED"/>
    <w:rsid w:val="006841C4"/>
    <w:rsid w:val="0068426A"/>
    <w:rsid w:val="00684401"/>
    <w:rsid w:val="00684685"/>
    <w:rsid w:val="00684BC1"/>
    <w:rsid w:val="00684BF2"/>
    <w:rsid w:val="00684FD8"/>
    <w:rsid w:val="00685452"/>
    <w:rsid w:val="00685463"/>
    <w:rsid w:val="006856F3"/>
    <w:rsid w:val="00685F5A"/>
    <w:rsid w:val="00686E50"/>
    <w:rsid w:val="006872AA"/>
    <w:rsid w:val="006872AE"/>
    <w:rsid w:val="006875A9"/>
    <w:rsid w:val="006876C0"/>
    <w:rsid w:val="00687973"/>
    <w:rsid w:val="0069031A"/>
    <w:rsid w:val="00690810"/>
    <w:rsid w:val="00690BBA"/>
    <w:rsid w:val="00690DBC"/>
    <w:rsid w:val="00690E99"/>
    <w:rsid w:val="00690F7D"/>
    <w:rsid w:val="006910EA"/>
    <w:rsid w:val="00691698"/>
    <w:rsid w:val="006920B9"/>
    <w:rsid w:val="006929BB"/>
    <w:rsid w:val="00692A8D"/>
    <w:rsid w:val="00693AEC"/>
    <w:rsid w:val="00693FB3"/>
    <w:rsid w:val="00694211"/>
    <w:rsid w:val="006943CE"/>
    <w:rsid w:val="006944A1"/>
    <w:rsid w:val="0069523C"/>
    <w:rsid w:val="00695370"/>
    <w:rsid w:val="006953C7"/>
    <w:rsid w:val="006956B4"/>
    <w:rsid w:val="00696221"/>
    <w:rsid w:val="00696333"/>
    <w:rsid w:val="00696446"/>
    <w:rsid w:val="006968F8"/>
    <w:rsid w:val="00697BF3"/>
    <w:rsid w:val="00697C99"/>
    <w:rsid w:val="006A006B"/>
    <w:rsid w:val="006A0119"/>
    <w:rsid w:val="006A0278"/>
    <w:rsid w:val="006A077A"/>
    <w:rsid w:val="006A0CC7"/>
    <w:rsid w:val="006A0F3C"/>
    <w:rsid w:val="006A101D"/>
    <w:rsid w:val="006A1794"/>
    <w:rsid w:val="006A18F7"/>
    <w:rsid w:val="006A2A5F"/>
    <w:rsid w:val="006A2A8F"/>
    <w:rsid w:val="006A2D8D"/>
    <w:rsid w:val="006A3773"/>
    <w:rsid w:val="006A48EF"/>
    <w:rsid w:val="006A4CD8"/>
    <w:rsid w:val="006A50D3"/>
    <w:rsid w:val="006A5A02"/>
    <w:rsid w:val="006A650C"/>
    <w:rsid w:val="006A685A"/>
    <w:rsid w:val="006A6D3D"/>
    <w:rsid w:val="006A6ECB"/>
    <w:rsid w:val="006A6F7F"/>
    <w:rsid w:val="006A714E"/>
    <w:rsid w:val="006A75F2"/>
    <w:rsid w:val="006A765A"/>
    <w:rsid w:val="006A7947"/>
    <w:rsid w:val="006A7CA2"/>
    <w:rsid w:val="006B07DE"/>
    <w:rsid w:val="006B197B"/>
    <w:rsid w:val="006B1D39"/>
    <w:rsid w:val="006B2657"/>
    <w:rsid w:val="006B27D1"/>
    <w:rsid w:val="006B283B"/>
    <w:rsid w:val="006B2A93"/>
    <w:rsid w:val="006B3F99"/>
    <w:rsid w:val="006B49D5"/>
    <w:rsid w:val="006B4C7E"/>
    <w:rsid w:val="006B5026"/>
    <w:rsid w:val="006B50FD"/>
    <w:rsid w:val="006B5138"/>
    <w:rsid w:val="006B5202"/>
    <w:rsid w:val="006B523F"/>
    <w:rsid w:val="006B5707"/>
    <w:rsid w:val="006B5724"/>
    <w:rsid w:val="006B580D"/>
    <w:rsid w:val="006B5DA7"/>
    <w:rsid w:val="006B5DD1"/>
    <w:rsid w:val="006B6236"/>
    <w:rsid w:val="006B697E"/>
    <w:rsid w:val="006B6B79"/>
    <w:rsid w:val="006B6F16"/>
    <w:rsid w:val="006C0812"/>
    <w:rsid w:val="006C0979"/>
    <w:rsid w:val="006C0D9F"/>
    <w:rsid w:val="006C2223"/>
    <w:rsid w:val="006C2379"/>
    <w:rsid w:val="006C2441"/>
    <w:rsid w:val="006C264C"/>
    <w:rsid w:val="006C28C1"/>
    <w:rsid w:val="006C3061"/>
    <w:rsid w:val="006C3419"/>
    <w:rsid w:val="006C3F25"/>
    <w:rsid w:val="006C444D"/>
    <w:rsid w:val="006C4810"/>
    <w:rsid w:val="006C54A0"/>
    <w:rsid w:val="006C556B"/>
    <w:rsid w:val="006C55E3"/>
    <w:rsid w:val="006C5F46"/>
    <w:rsid w:val="006C5FF5"/>
    <w:rsid w:val="006C6FC2"/>
    <w:rsid w:val="006C7405"/>
    <w:rsid w:val="006C74A9"/>
    <w:rsid w:val="006C7776"/>
    <w:rsid w:val="006C7961"/>
    <w:rsid w:val="006C7A25"/>
    <w:rsid w:val="006D039D"/>
    <w:rsid w:val="006D0683"/>
    <w:rsid w:val="006D082C"/>
    <w:rsid w:val="006D0CE3"/>
    <w:rsid w:val="006D1D87"/>
    <w:rsid w:val="006D1FAC"/>
    <w:rsid w:val="006D2058"/>
    <w:rsid w:val="006D21A8"/>
    <w:rsid w:val="006D26B4"/>
    <w:rsid w:val="006D2882"/>
    <w:rsid w:val="006D2991"/>
    <w:rsid w:val="006D29F2"/>
    <w:rsid w:val="006D3C76"/>
    <w:rsid w:val="006D3EDF"/>
    <w:rsid w:val="006D4041"/>
    <w:rsid w:val="006D450B"/>
    <w:rsid w:val="006D4D43"/>
    <w:rsid w:val="006D50A4"/>
    <w:rsid w:val="006D5291"/>
    <w:rsid w:val="006D568A"/>
    <w:rsid w:val="006D6874"/>
    <w:rsid w:val="006D6CE8"/>
    <w:rsid w:val="006D779A"/>
    <w:rsid w:val="006D7A4E"/>
    <w:rsid w:val="006D7B36"/>
    <w:rsid w:val="006E07BF"/>
    <w:rsid w:val="006E0985"/>
    <w:rsid w:val="006E09AF"/>
    <w:rsid w:val="006E0F10"/>
    <w:rsid w:val="006E0F85"/>
    <w:rsid w:val="006E121F"/>
    <w:rsid w:val="006E1720"/>
    <w:rsid w:val="006E1ABD"/>
    <w:rsid w:val="006E1DC7"/>
    <w:rsid w:val="006E1F51"/>
    <w:rsid w:val="006E25E6"/>
    <w:rsid w:val="006E3073"/>
    <w:rsid w:val="006E3099"/>
    <w:rsid w:val="006E32FB"/>
    <w:rsid w:val="006E3387"/>
    <w:rsid w:val="006E356D"/>
    <w:rsid w:val="006E35D9"/>
    <w:rsid w:val="006E389D"/>
    <w:rsid w:val="006E394D"/>
    <w:rsid w:val="006E39E1"/>
    <w:rsid w:val="006E4064"/>
    <w:rsid w:val="006E4626"/>
    <w:rsid w:val="006E4BE9"/>
    <w:rsid w:val="006E4CFE"/>
    <w:rsid w:val="006E5181"/>
    <w:rsid w:val="006E5254"/>
    <w:rsid w:val="006E5513"/>
    <w:rsid w:val="006E58B9"/>
    <w:rsid w:val="006E5B02"/>
    <w:rsid w:val="006E603F"/>
    <w:rsid w:val="006E6642"/>
    <w:rsid w:val="006E66B8"/>
    <w:rsid w:val="006E6F82"/>
    <w:rsid w:val="006E799F"/>
    <w:rsid w:val="006E7D30"/>
    <w:rsid w:val="006E7D7D"/>
    <w:rsid w:val="006F02AA"/>
    <w:rsid w:val="006F0344"/>
    <w:rsid w:val="006F0AAD"/>
    <w:rsid w:val="006F14D8"/>
    <w:rsid w:val="006F176E"/>
    <w:rsid w:val="006F17DC"/>
    <w:rsid w:val="006F1EAE"/>
    <w:rsid w:val="006F20D1"/>
    <w:rsid w:val="006F23F1"/>
    <w:rsid w:val="006F2D70"/>
    <w:rsid w:val="006F3008"/>
    <w:rsid w:val="006F314C"/>
    <w:rsid w:val="006F3900"/>
    <w:rsid w:val="006F3C98"/>
    <w:rsid w:val="006F3CAE"/>
    <w:rsid w:val="006F3DA7"/>
    <w:rsid w:val="006F3E72"/>
    <w:rsid w:val="006F43D0"/>
    <w:rsid w:val="006F49EA"/>
    <w:rsid w:val="006F5AB8"/>
    <w:rsid w:val="006F5F43"/>
    <w:rsid w:val="006F61C2"/>
    <w:rsid w:val="006F694E"/>
    <w:rsid w:val="006F695A"/>
    <w:rsid w:val="006F7046"/>
    <w:rsid w:val="006F7A8C"/>
    <w:rsid w:val="006F7F7C"/>
    <w:rsid w:val="0070068D"/>
    <w:rsid w:val="00701670"/>
    <w:rsid w:val="0070283B"/>
    <w:rsid w:val="007038F2"/>
    <w:rsid w:val="00703F4E"/>
    <w:rsid w:val="00704481"/>
    <w:rsid w:val="0070451E"/>
    <w:rsid w:val="00704727"/>
    <w:rsid w:val="00704C7D"/>
    <w:rsid w:val="0070513C"/>
    <w:rsid w:val="007057A0"/>
    <w:rsid w:val="00705934"/>
    <w:rsid w:val="00705DC8"/>
    <w:rsid w:val="007069BA"/>
    <w:rsid w:val="00706C79"/>
    <w:rsid w:val="007113B9"/>
    <w:rsid w:val="00711A65"/>
    <w:rsid w:val="00711C84"/>
    <w:rsid w:val="007121E8"/>
    <w:rsid w:val="007125F6"/>
    <w:rsid w:val="007128B6"/>
    <w:rsid w:val="00712BBA"/>
    <w:rsid w:val="00713290"/>
    <w:rsid w:val="00713CAE"/>
    <w:rsid w:val="007145D1"/>
    <w:rsid w:val="00714E2B"/>
    <w:rsid w:val="00714F64"/>
    <w:rsid w:val="00714FCD"/>
    <w:rsid w:val="00716140"/>
    <w:rsid w:val="0071778E"/>
    <w:rsid w:val="00717976"/>
    <w:rsid w:val="0071799F"/>
    <w:rsid w:val="00717CCC"/>
    <w:rsid w:val="00720CD2"/>
    <w:rsid w:val="00721141"/>
    <w:rsid w:val="007214B8"/>
    <w:rsid w:val="0072174A"/>
    <w:rsid w:val="00721826"/>
    <w:rsid w:val="00721D96"/>
    <w:rsid w:val="0072229E"/>
    <w:rsid w:val="0072292B"/>
    <w:rsid w:val="00722FDD"/>
    <w:rsid w:val="007234D0"/>
    <w:rsid w:val="007235D0"/>
    <w:rsid w:val="007235DC"/>
    <w:rsid w:val="007240F2"/>
    <w:rsid w:val="00724600"/>
    <w:rsid w:val="007248A5"/>
    <w:rsid w:val="0072499E"/>
    <w:rsid w:val="00724F58"/>
    <w:rsid w:val="007250E1"/>
    <w:rsid w:val="007251F8"/>
    <w:rsid w:val="0072560D"/>
    <w:rsid w:val="0072584B"/>
    <w:rsid w:val="007258BF"/>
    <w:rsid w:val="00725EC3"/>
    <w:rsid w:val="00726D89"/>
    <w:rsid w:val="00726E15"/>
    <w:rsid w:val="00726E98"/>
    <w:rsid w:val="0072731A"/>
    <w:rsid w:val="00727488"/>
    <w:rsid w:val="007277C2"/>
    <w:rsid w:val="00727A5D"/>
    <w:rsid w:val="00727A78"/>
    <w:rsid w:val="00731634"/>
    <w:rsid w:val="007316AD"/>
    <w:rsid w:val="0073173A"/>
    <w:rsid w:val="0073277D"/>
    <w:rsid w:val="00732F45"/>
    <w:rsid w:val="00733188"/>
    <w:rsid w:val="00733378"/>
    <w:rsid w:val="007334E1"/>
    <w:rsid w:val="007335E7"/>
    <w:rsid w:val="007335F1"/>
    <w:rsid w:val="00734192"/>
    <w:rsid w:val="00734829"/>
    <w:rsid w:val="00734E40"/>
    <w:rsid w:val="00734F63"/>
    <w:rsid w:val="007357A4"/>
    <w:rsid w:val="00735C4C"/>
    <w:rsid w:val="0073621F"/>
    <w:rsid w:val="007363AD"/>
    <w:rsid w:val="00736C8F"/>
    <w:rsid w:val="00737030"/>
    <w:rsid w:val="00737575"/>
    <w:rsid w:val="00740442"/>
    <w:rsid w:val="00740AC1"/>
    <w:rsid w:val="00740C53"/>
    <w:rsid w:val="00741489"/>
    <w:rsid w:val="00741674"/>
    <w:rsid w:val="0074212F"/>
    <w:rsid w:val="00742FE2"/>
    <w:rsid w:val="00743315"/>
    <w:rsid w:val="00743426"/>
    <w:rsid w:val="007436D3"/>
    <w:rsid w:val="00743B08"/>
    <w:rsid w:val="00743EB1"/>
    <w:rsid w:val="00744125"/>
    <w:rsid w:val="00744927"/>
    <w:rsid w:val="007451EE"/>
    <w:rsid w:val="00745228"/>
    <w:rsid w:val="007452A4"/>
    <w:rsid w:val="00745AA1"/>
    <w:rsid w:val="00745BFE"/>
    <w:rsid w:val="00746383"/>
    <w:rsid w:val="007466AC"/>
    <w:rsid w:val="00746D9C"/>
    <w:rsid w:val="00746F7D"/>
    <w:rsid w:val="007470B9"/>
    <w:rsid w:val="00747BA3"/>
    <w:rsid w:val="00747E64"/>
    <w:rsid w:val="00750109"/>
    <w:rsid w:val="0075022E"/>
    <w:rsid w:val="00750332"/>
    <w:rsid w:val="00751208"/>
    <w:rsid w:val="00752127"/>
    <w:rsid w:val="00752448"/>
    <w:rsid w:val="007524B1"/>
    <w:rsid w:val="007527D3"/>
    <w:rsid w:val="0075290C"/>
    <w:rsid w:val="00752D69"/>
    <w:rsid w:val="00753113"/>
    <w:rsid w:val="00753588"/>
    <w:rsid w:val="00753B08"/>
    <w:rsid w:val="00753CAB"/>
    <w:rsid w:val="0075400B"/>
    <w:rsid w:val="0075488C"/>
    <w:rsid w:val="00754A88"/>
    <w:rsid w:val="00755289"/>
    <w:rsid w:val="0075583F"/>
    <w:rsid w:val="007559F8"/>
    <w:rsid w:val="0075606C"/>
    <w:rsid w:val="00756B51"/>
    <w:rsid w:val="007578F8"/>
    <w:rsid w:val="00757B83"/>
    <w:rsid w:val="0076050D"/>
    <w:rsid w:val="00760E9F"/>
    <w:rsid w:val="00761E2B"/>
    <w:rsid w:val="007626E1"/>
    <w:rsid w:val="00763138"/>
    <w:rsid w:val="007631AC"/>
    <w:rsid w:val="007638F4"/>
    <w:rsid w:val="007639FE"/>
    <w:rsid w:val="007640E2"/>
    <w:rsid w:val="00764B38"/>
    <w:rsid w:val="007657E2"/>
    <w:rsid w:val="00765A9E"/>
    <w:rsid w:val="00766475"/>
    <w:rsid w:val="0076657B"/>
    <w:rsid w:val="007665E3"/>
    <w:rsid w:val="00766CA4"/>
    <w:rsid w:val="00766E08"/>
    <w:rsid w:val="00767481"/>
    <w:rsid w:val="007675DE"/>
    <w:rsid w:val="00767601"/>
    <w:rsid w:val="00767B30"/>
    <w:rsid w:val="00767BF4"/>
    <w:rsid w:val="00767C03"/>
    <w:rsid w:val="0077008B"/>
    <w:rsid w:val="007706D3"/>
    <w:rsid w:val="0077167B"/>
    <w:rsid w:val="00771B2A"/>
    <w:rsid w:val="00772498"/>
    <w:rsid w:val="00772B57"/>
    <w:rsid w:val="00772D46"/>
    <w:rsid w:val="00773315"/>
    <w:rsid w:val="00773576"/>
    <w:rsid w:val="007735F7"/>
    <w:rsid w:val="00773A6B"/>
    <w:rsid w:val="00773E08"/>
    <w:rsid w:val="00774855"/>
    <w:rsid w:val="00775ED7"/>
    <w:rsid w:val="0077652F"/>
    <w:rsid w:val="00776E8B"/>
    <w:rsid w:val="00777A03"/>
    <w:rsid w:val="007805CF"/>
    <w:rsid w:val="007805EC"/>
    <w:rsid w:val="00780612"/>
    <w:rsid w:val="007810B4"/>
    <w:rsid w:val="00781833"/>
    <w:rsid w:val="0078189F"/>
    <w:rsid w:val="00781DDA"/>
    <w:rsid w:val="007830AA"/>
    <w:rsid w:val="00783936"/>
    <w:rsid w:val="00783B54"/>
    <w:rsid w:val="007840D9"/>
    <w:rsid w:val="0078416A"/>
    <w:rsid w:val="0078422B"/>
    <w:rsid w:val="0078425F"/>
    <w:rsid w:val="007845B9"/>
    <w:rsid w:val="0078473B"/>
    <w:rsid w:val="007850CD"/>
    <w:rsid w:val="00785771"/>
    <w:rsid w:val="00785A06"/>
    <w:rsid w:val="00786416"/>
    <w:rsid w:val="007864A0"/>
    <w:rsid w:val="007868AE"/>
    <w:rsid w:val="007876D9"/>
    <w:rsid w:val="00790026"/>
    <w:rsid w:val="007901B1"/>
    <w:rsid w:val="0079041F"/>
    <w:rsid w:val="00791229"/>
    <w:rsid w:val="00791450"/>
    <w:rsid w:val="00792051"/>
    <w:rsid w:val="007925F7"/>
    <w:rsid w:val="00792857"/>
    <w:rsid w:val="00792F33"/>
    <w:rsid w:val="00793301"/>
    <w:rsid w:val="00793484"/>
    <w:rsid w:val="007936F9"/>
    <w:rsid w:val="00793764"/>
    <w:rsid w:val="00793797"/>
    <w:rsid w:val="00793922"/>
    <w:rsid w:val="007940A0"/>
    <w:rsid w:val="00794820"/>
    <w:rsid w:val="007949B6"/>
    <w:rsid w:val="007951D2"/>
    <w:rsid w:val="0079552A"/>
    <w:rsid w:val="00795A3B"/>
    <w:rsid w:val="007962D1"/>
    <w:rsid w:val="00796850"/>
    <w:rsid w:val="007968B8"/>
    <w:rsid w:val="00796C08"/>
    <w:rsid w:val="0079777D"/>
    <w:rsid w:val="00797E0B"/>
    <w:rsid w:val="007A00A5"/>
    <w:rsid w:val="007A00DB"/>
    <w:rsid w:val="007A0AB7"/>
    <w:rsid w:val="007A1296"/>
    <w:rsid w:val="007A13DD"/>
    <w:rsid w:val="007A1528"/>
    <w:rsid w:val="007A15C3"/>
    <w:rsid w:val="007A165F"/>
    <w:rsid w:val="007A1D3E"/>
    <w:rsid w:val="007A2073"/>
    <w:rsid w:val="007A229B"/>
    <w:rsid w:val="007A231B"/>
    <w:rsid w:val="007A2F41"/>
    <w:rsid w:val="007A34E1"/>
    <w:rsid w:val="007A3C23"/>
    <w:rsid w:val="007A3E0E"/>
    <w:rsid w:val="007A55AA"/>
    <w:rsid w:val="007A60F9"/>
    <w:rsid w:val="007A644D"/>
    <w:rsid w:val="007A6BEC"/>
    <w:rsid w:val="007A6BF4"/>
    <w:rsid w:val="007A7436"/>
    <w:rsid w:val="007A7666"/>
    <w:rsid w:val="007A77EC"/>
    <w:rsid w:val="007B059B"/>
    <w:rsid w:val="007B061E"/>
    <w:rsid w:val="007B13AE"/>
    <w:rsid w:val="007B18A1"/>
    <w:rsid w:val="007B18F8"/>
    <w:rsid w:val="007B1DDD"/>
    <w:rsid w:val="007B225F"/>
    <w:rsid w:val="007B2D6B"/>
    <w:rsid w:val="007B2E02"/>
    <w:rsid w:val="007B4A7A"/>
    <w:rsid w:val="007B54AB"/>
    <w:rsid w:val="007B5B5E"/>
    <w:rsid w:val="007B64A6"/>
    <w:rsid w:val="007B700F"/>
    <w:rsid w:val="007B7085"/>
    <w:rsid w:val="007B7442"/>
    <w:rsid w:val="007B76DA"/>
    <w:rsid w:val="007B7C04"/>
    <w:rsid w:val="007B7C61"/>
    <w:rsid w:val="007C0197"/>
    <w:rsid w:val="007C0218"/>
    <w:rsid w:val="007C07B4"/>
    <w:rsid w:val="007C09AC"/>
    <w:rsid w:val="007C0D66"/>
    <w:rsid w:val="007C1150"/>
    <w:rsid w:val="007C1321"/>
    <w:rsid w:val="007C16CE"/>
    <w:rsid w:val="007C16E6"/>
    <w:rsid w:val="007C18CE"/>
    <w:rsid w:val="007C1A2B"/>
    <w:rsid w:val="007C1C86"/>
    <w:rsid w:val="007C1CDC"/>
    <w:rsid w:val="007C1D39"/>
    <w:rsid w:val="007C21BA"/>
    <w:rsid w:val="007C272E"/>
    <w:rsid w:val="007C289D"/>
    <w:rsid w:val="007C2DCF"/>
    <w:rsid w:val="007C323A"/>
    <w:rsid w:val="007C45F4"/>
    <w:rsid w:val="007C4ACC"/>
    <w:rsid w:val="007C4BCA"/>
    <w:rsid w:val="007C4D5D"/>
    <w:rsid w:val="007C4FEA"/>
    <w:rsid w:val="007C5791"/>
    <w:rsid w:val="007C6484"/>
    <w:rsid w:val="007C6583"/>
    <w:rsid w:val="007C65CC"/>
    <w:rsid w:val="007C6CE8"/>
    <w:rsid w:val="007C6D4C"/>
    <w:rsid w:val="007C7627"/>
    <w:rsid w:val="007C7F6C"/>
    <w:rsid w:val="007D01AE"/>
    <w:rsid w:val="007D03F1"/>
    <w:rsid w:val="007D06D8"/>
    <w:rsid w:val="007D07DC"/>
    <w:rsid w:val="007D094B"/>
    <w:rsid w:val="007D0B85"/>
    <w:rsid w:val="007D0CB2"/>
    <w:rsid w:val="007D177B"/>
    <w:rsid w:val="007D1820"/>
    <w:rsid w:val="007D1E25"/>
    <w:rsid w:val="007D1E51"/>
    <w:rsid w:val="007D1E58"/>
    <w:rsid w:val="007D1FE8"/>
    <w:rsid w:val="007D2205"/>
    <w:rsid w:val="007D2CC1"/>
    <w:rsid w:val="007D2F67"/>
    <w:rsid w:val="007D2FE3"/>
    <w:rsid w:val="007D3177"/>
    <w:rsid w:val="007D3185"/>
    <w:rsid w:val="007D3BF2"/>
    <w:rsid w:val="007D3DC2"/>
    <w:rsid w:val="007D458F"/>
    <w:rsid w:val="007D4F2C"/>
    <w:rsid w:val="007D6222"/>
    <w:rsid w:val="007D69B9"/>
    <w:rsid w:val="007D6B3D"/>
    <w:rsid w:val="007D77D2"/>
    <w:rsid w:val="007D788C"/>
    <w:rsid w:val="007E0BCF"/>
    <w:rsid w:val="007E0FAA"/>
    <w:rsid w:val="007E11F6"/>
    <w:rsid w:val="007E18FF"/>
    <w:rsid w:val="007E1C98"/>
    <w:rsid w:val="007E28F7"/>
    <w:rsid w:val="007E2BC5"/>
    <w:rsid w:val="007E2D40"/>
    <w:rsid w:val="007E38CD"/>
    <w:rsid w:val="007E39ED"/>
    <w:rsid w:val="007E3B57"/>
    <w:rsid w:val="007E3CD1"/>
    <w:rsid w:val="007E44A8"/>
    <w:rsid w:val="007E44B4"/>
    <w:rsid w:val="007E50B9"/>
    <w:rsid w:val="007E6191"/>
    <w:rsid w:val="007E67B8"/>
    <w:rsid w:val="007E6C22"/>
    <w:rsid w:val="007E6C6B"/>
    <w:rsid w:val="007E6FA1"/>
    <w:rsid w:val="007E6FAD"/>
    <w:rsid w:val="007E72A1"/>
    <w:rsid w:val="007E79DD"/>
    <w:rsid w:val="007E7D8E"/>
    <w:rsid w:val="007F0216"/>
    <w:rsid w:val="007F0F4A"/>
    <w:rsid w:val="007F1160"/>
    <w:rsid w:val="007F11D1"/>
    <w:rsid w:val="007F1245"/>
    <w:rsid w:val="007F1322"/>
    <w:rsid w:val="007F1740"/>
    <w:rsid w:val="007F1994"/>
    <w:rsid w:val="007F1BC1"/>
    <w:rsid w:val="007F27C5"/>
    <w:rsid w:val="007F2F31"/>
    <w:rsid w:val="007F3680"/>
    <w:rsid w:val="007F3B7E"/>
    <w:rsid w:val="007F3CB2"/>
    <w:rsid w:val="007F3E31"/>
    <w:rsid w:val="007F4600"/>
    <w:rsid w:val="007F4D4D"/>
    <w:rsid w:val="007F4EAE"/>
    <w:rsid w:val="007F5180"/>
    <w:rsid w:val="007F561E"/>
    <w:rsid w:val="007F5F9B"/>
    <w:rsid w:val="007F6366"/>
    <w:rsid w:val="007F6A2B"/>
    <w:rsid w:val="007F6B24"/>
    <w:rsid w:val="007F74A5"/>
    <w:rsid w:val="007F75B9"/>
    <w:rsid w:val="007F77AA"/>
    <w:rsid w:val="007F78CE"/>
    <w:rsid w:val="007F7E14"/>
    <w:rsid w:val="00800339"/>
    <w:rsid w:val="00800945"/>
    <w:rsid w:val="0080111F"/>
    <w:rsid w:val="00801A8E"/>
    <w:rsid w:val="008021F1"/>
    <w:rsid w:val="0080225F"/>
    <w:rsid w:val="00802346"/>
    <w:rsid w:val="008025FE"/>
    <w:rsid w:val="00802B52"/>
    <w:rsid w:val="00802D0F"/>
    <w:rsid w:val="00802D38"/>
    <w:rsid w:val="00802E4F"/>
    <w:rsid w:val="008034C9"/>
    <w:rsid w:val="00803EB2"/>
    <w:rsid w:val="00803F07"/>
    <w:rsid w:val="008043B3"/>
    <w:rsid w:val="00804999"/>
    <w:rsid w:val="008059BF"/>
    <w:rsid w:val="00805C86"/>
    <w:rsid w:val="00805F7C"/>
    <w:rsid w:val="0080649E"/>
    <w:rsid w:val="00806BAD"/>
    <w:rsid w:val="00807912"/>
    <w:rsid w:val="00810EB5"/>
    <w:rsid w:val="0081116C"/>
    <w:rsid w:val="00811320"/>
    <w:rsid w:val="00811F7D"/>
    <w:rsid w:val="00812568"/>
    <w:rsid w:val="008129DD"/>
    <w:rsid w:val="00812C6E"/>
    <w:rsid w:val="00813776"/>
    <w:rsid w:val="008140F2"/>
    <w:rsid w:val="00815C19"/>
    <w:rsid w:val="00815CB2"/>
    <w:rsid w:val="0081617D"/>
    <w:rsid w:val="008167B8"/>
    <w:rsid w:val="00816F93"/>
    <w:rsid w:val="00817163"/>
    <w:rsid w:val="008171F8"/>
    <w:rsid w:val="00817938"/>
    <w:rsid w:val="00817B58"/>
    <w:rsid w:val="00817BAD"/>
    <w:rsid w:val="00817E31"/>
    <w:rsid w:val="008201AC"/>
    <w:rsid w:val="008201D0"/>
    <w:rsid w:val="008206C1"/>
    <w:rsid w:val="00820FF4"/>
    <w:rsid w:val="008212A4"/>
    <w:rsid w:val="0082169C"/>
    <w:rsid w:val="00822D77"/>
    <w:rsid w:val="0082306D"/>
    <w:rsid w:val="008230A2"/>
    <w:rsid w:val="008235F7"/>
    <w:rsid w:val="00823E81"/>
    <w:rsid w:val="00824689"/>
    <w:rsid w:val="00825FA2"/>
    <w:rsid w:val="00826C74"/>
    <w:rsid w:val="00827AC5"/>
    <w:rsid w:val="00827F7D"/>
    <w:rsid w:val="0083026F"/>
    <w:rsid w:val="008302EC"/>
    <w:rsid w:val="00830483"/>
    <w:rsid w:val="00831298"/>
    <w:rsid w:val="00831336"/>
    <w:rsid w:val="00831B23"/>
    <w:rsid w:val="00831DC5"/>
    <w:rsid w:val="008323AB"/>
    <w:rsid w:val="008324D6"/>
    <w:rsid w:val="008325C7"/>
    <w:rsid w:val="0083288A"/>
    <w:rsid w:val="008329AF"/>
    <w:rsid w:val="00832B7F"/>
    <w:rsid w:val="00832F81"/>
    <w:rsid w:val="00832FA2"/>
    <w:rsid w:val="00834689"/>
    <w:rsid w:val="00835ACD"/>
    <w:rsid w:val="008366F2"/>
    <w:rsid w:val="00836AF7"/>
    <w:rsid w:val="00836C9F"/>
    <w:rsid w:val="00836D43"/>
    <w:rsid w:val="0083780B"/>
    <w:rsid w:val="0083783E"/>
    <w:rsid w:val="00837A35"/>
    <w:rsid w:val="00837C59"/>
    <w:rsid w:val="00837C5C"/>
    <w:rsid w:val="00840BA9"/>
    <w:rsid w:val="00840FE7"/>
    <w:rsid w:val="0084110B"/>
    <w:rsid w:val="008411E8"/>
    <w:rsid w:val="008417B8"/>
    <w:rsid w:val="00841ACF"/>
    <w:rsid w:val="00841AE7"/>
    <w:rsid w:val="008429A8"/>
    <w:rsid w:val="0084387E"/>
    <w:rsid w:val="008448C4"/>
    <w:rsid w:val="00844F28"/>
    <w:rsid w:val="00845575"/>
    <w:rsid w:val="00845D0C"/>
    <w:rsid w:val="008466C2"/>
    <w:rsid w:val="00846D0A"/>
    <w:rsid w:val="00846E41"/>
    <w:rsid w:val="008473E6"/>
    <w:rsid w:val="008473F6"/>
    <w:rsid w:val="00847B52"/>
    <w:rsid w:val="008503AA"/>
    <w:rsid w:val="008504A5"/>
    <w:rsid w:val="0085060E"/>
    <w:rsid w:val="00850A49"/>
    <w:rsid w:val="008510E6"/>
    <w:rsid w:val="0085140E"/>
    <w:rsid w:val="00852CC5"/>
    <w:rsid w:val="00853247"/>
    <w:rsid w:val="00853323"/>
    <w:rsid w:val="0085403E"/>
    <w:rsid w:val="00854203"/>
    <w:rsid w:val="0085462B"/>
    <w:rsid w:val="008549B5"/>
    <w:rsid w:val="00855617"/>
    <w:rsid w:val="0085579B"/>
    <w:rsid w:val="00855D1C"/>
    <w:rsid w:val="00857508"/>
    <w:rsid w:val="00857971"/>
    <w:rsid w:val="00857D5A"/>
    <w:rsid w:val="00857DCD"/>
    <w:rsid w:val="008604EB"/>
    <w:rsid w:val="008605F2"/>
    <w:rsid w:val="00860BE0"/>
    <w:rsid w:val="00860E7D"/>
    <w:rsid w:val="00860EA4"/>
    <w:rsid w:val="00860F10"/>
    <w:rsid w:val="008611C4"/>
    <w:rsid w:val="008616DF"/>
    <w:rsid w:val="008618BB"/>
    <w:rsid w:val="00861AF2"/>
    <w:rsid w:val="00861CC2"/>
    <w:rsid w:val="00861DEF"/>
    <w:rsid w:val="00862669"/>
    <w:rsid w:val="008628D6"/>
    <w:rsid w:val="008631FF"/>
    <w:rsid w:val="00863255"/>
    <w:rsid w:val="00863425"/>
    <w:rsid w:val="008638C0"/>
    <w:rsid w:val="00863E01"/>
    <w:rsid w:val="00863E3C"/>
    <w:rsid w:val="00864095"/>
    <w:rsid w:val="008641B6"/>
    <w:rsid w:val="00864A12"/>
    <w:rsid w:val="00864C71"/>
    <w:rsid w:val="00864D11"/>
    <w:rsid w:val="0086537D"/>
    <w:rsid w:val="008659A7"/>
    <w:rsid w:val="008660EF"/>
    <w:rsid w:val="008668BF"/>
    <w:rsid w:val="008669C9"/>
    <w:rsid w:val="00866C1D"/>
    <w:rsid w:val="00870D17"/>
    <w:rsid w:val="00870D21"/>
    <w:rsid w:val="00871191"/>
    <w:rsid w:val="008711C0"/>
    <w:rsid w:val="00871AD2"/>
    <w:rsid w:val="00872392"/>
    <w:rsid w:val="0087298C"/>
    <w:rsid w:val="00873C68"/>
    <w:rsid w:val="00873E40"/>
    <w:rsid w:val="00874B45"/>
    <w:rsid w:val="00875559"/>
    <w:rsid w:val="00875BD9"/>
    <w:rsid w:val="00875ED0"/>
    <w:rsid w:val="00875FBC"/>
    <w:rsid w:val="00876182"/>
    <w:rsid w:val="008762CD"/>
    <w:rsid w:val="0087653E"/>
    <w:rsid w:val="00876D40"/>
    <w:rsid w:val="00876D9D"/>
    <w:rsid w:val="00877543"/>
    <w:rsid w:val="00877D38"/>
    <w:rsid w:val="008803F6"/>
    <w:rsid w:val="008809B1"/>
    <w:rsid w:val="00880B82"/>
    <w:rsid w:val="00881071"/>
    <w:rsid w:val="0088114E"/>
    <w:rsid w:val="00881F35"/>
    <w:rsid w:val="0088290E"/>
    <w:rsid w:val="00882A51"/>
    <w:rsid w:val="00882CA5"/>
    <w:rsid w:val="0088374C"/>
    <w:rsid w:val="008838FA"/>
    <w:rsid w:val="00883948"/>
    <w:rsid w:val="00883F7F"/>
    <w:rsid w:val="008850C6"/>
    <w:rsid w:val="008857BB"/>
    <w:rsid w:val="00885AB4"/>
    <w:rsid w:val="00885AD5"/>
    <w:rsid w:val="00886C41"/>
    <w:rsid w:val="008901A6"/>
    <w:rsid w:val="00890389"/>
    <w:rsid w:val="00890759"/>
    <w:rsid w:val="00890BC7"/>
    <w:rsid w:val="00891533"/>
    <w:rsid w:val="00891882"/>
    <w:rsid w:val="00891EDA"/>
    <w:rsid w:val="00893000"/>
    <w:rsid w:val="00893347"/>
    <w:rsid w:val="008937DB"/>
    <w:rsid w:val="00893B1E"/>
    <w:rsid w:val="008941A4"/>
    <w:rsid w:val="00894D6F"/>
    <w:rsid w:val="00894E41"/>
    <w:rsid w:val="00894E87"/>
    <w:rsid w:val="00894F8C"/>
    <w:rsid w:val="00895349"/>
    <w:rsid w:val="008953A2"/>
    <w:rsid w:val="008954E4"/>
    <w:rsid w:val="00895977"/>
    <w:rsid w:val="00895ACC"/>
    <w:rsid w:val="00896A2F"/>
    <w:rsid w:val="00896A49"/>
    <w:rsid w:val="00897FB3"/>
    <w:rsid w:val="008A0306"/>
    <w:rsid w:val="008A04EB"/>
    <w:rsid w:val="008A0A8E"/>
    <w:rsid w:val="008A0B23"/>
    <w:rsid w:val="008A0C62"/>
    <w:rsid w:val="008A0D0C"/>
    <w:rsid w:val="008A1288"/>
    <w:rsid w:val="008A1679"/>
    <w:rsid w:val="008A2170"/>
    <w:rsid w:val="008A236C"/>
    <w:rsid w:val="008A265D"/>
    <w:rsid w:val="008A2A6C"/>
    <w:rsid w:val="008A3112"/>
    <w:rsid w:val="008A32DE"/>
    <w:rsid w:val="008A380E"/>
    <w:rsid w:val="008A3D74"/>
    <w:rsid w:val="008A3DC0"/>
    <w:rsid w:val="008A40F9"/>
    <w:rsid w:val="008A41F6"/>
    <w:rsid w:val="008A4462"/>
    <w:rsid w:val="008A47A3"/>
    <w:rsid w:val="008A4AA5"/>
    <w:rsid w:val="008A4ABB"/>
    <w:rsid w:val="008A4DEE"/>
    <w:rsid w:val="008A5C68"/>
    <w:rsid w:val="008A5F87"/>
    <w:rsid w:val="008A665C"/>
    <w:rsid w:val="008A6F20"/>
    <w:rsid w:val="008A7451"/>
    <w:rsid w:val="008A769E"/>
    <w:rsid w:val="008A77C4"/>
    <w:rsid w:val="008A799A"/>
    <w:rsid w:val="008A7B95"/>
    <w:rsid w:val="008A7B98"/>
    <w:rsid w:val="008A7BD1"/>
    <w:rsid w:val="008B00CF"/>
    <w:rsid w:val="008B0C06"/>
    <w:rsid w:val="008B102D"/>
    <w:rsid w:val="008B11E5"/>
    <w:rsid w:val="008B1229"/>
    <w:rsid w:val="008B16FC"/>
    <w:rsid w:val="008B19B4"/>
    <w:rsid w:val="008B2368"/>
    <w:rsid w:val="008B2626"/>
    <w:rsid w:val="008B267A"/>
    <w:rsid w:val="008B29E5"/>
    <w:rsid w:val="008B2C88"/>
    <w:rsid w:val="008B3212"/>
    <w:rsid w:val="008B323B"/>
    <w:rsid w:val="008B33CB"/>
    <w:rsid w:val="008B3680"/>
    <w:rsid w:val="008B38B3"/>
    <w:rsid w:val="008B41E3"/>
    <w:rsid w:val="008B4382"/>
    <w:rsid w:val="008B4599"/>
    <w:rsid w:val="008B504D"/>
    <w:rsid w:val="008B55BC"/>
    <w:rsid w:val="008B561C"/>
    <w:rsid w:val="008B6671"/>
    <w:rsid w:val="008B7198"/>
    <w:rsid w:val="008B7827"/>
    <w:rsid w:val="008B78C6"/>
    <w:rsid w:val="008B78C7"/>
    <w:rsid w:val="008B78EB"/>
    <w:rsid w:val="008B7B81"/>
    <w:rsid w:val="008C0B36"/>
    <w:rsid w:val="008C0E22"/>
    <w:rsid w:val="008C11D3"/>
    <w:rsid w:val="008C1A0C"/>
    <w:rsid w:val="008C1A88"/>
    <w:rsid w:val="008C25ED"/>
    <w:rsid w:val="008C283A"/>
    <w:rsid w:val="008C294F"/>
    <w:rsid w:val="008C2FA0"/>
    <w:rsid w:val="008C3130"/>
    <w:rsid w:val="008C35AA"/>
    <w:rsid w:val="008C47E4"/>
    <w:rsid w:val="008C54B2"/>
    <w:rsid w:val="008C569E"/>
    <w:rsid w:val="008C5A22"/>
    <w:rsid w:val="008C5E06"/>
    <w:rsid w:val="008C5EF5"/>
    <w:rsid w:val="008C6450"/>
    <w:rsid w:val="008C650C"/>
    <w:rsid w:val="008C6590"/>
    <w:rsid w:val="008C67A9"/>
    <w:rsid w:val="008C6A17"/>
    <w:rsid w:val="008C6C99"/>
    <w:rsid w:val="008C6FD0"/>
    <w:rsid w:val="008C76ED"/>
    <w:rsid w:val="008C793C"/>
    <w:rsid w:val="008C7B0B"/>
    <w:rsid w:val="008D00E4"/>
    <w:rsid w:val="008D0713"/>
    <w:rsid w:val="008D08BA"/>
    <w:rsid w:val="008D0C12"/>
    <w:rsid w:val="008D0C3E"/>
    <w:rsid w:val="008D0D82"/>
    <w:rsid w:val="008D17EE"/>
    <w:rsid w:val="008D1A2D"/>
    <w:rsid w:val="008D1A7D"/>
    <w:rsid w:val="008D1D78"/>
    <w:rsid w:val="008D1EC5"/>
    <w:rsid w:val="008D2189"/>
    <w:rsid w:val="008D2AE3"/>
    <w:rsid w:val="008D2C64"/>
    <w:rsid w:val="008D2FBC"/>
    <w:rsid w:val="008D323E"/>
    <w:rsid w:val="008D3B17"/>
    <w:rsid w:val="008D3E12"/>
    <w:rsid w:val="008D404F"/>
    <w:rsid w:val="008D47E7"/>
    <w:rsid w:val="008D4FDC"/>
    <w:rsid w:val="008D5E19"/>
    <w:rsid w:val="008D630C"/>
    <w:rsid w:val="008D64AB"/>
    <w:rsid w:val="008D65B9"/>
    <w:rsid w:val="008D6F9A"/>
    <w:rsid w:val="008D730E"/>
    <w:rsid w:val="008D73E4"/>
    <w:rsid w:val="008E015B"/>
    <w:rsid w:val="008E036C"/>
    <w:rsid w:val="008E0FC6"/>
    <w:rsid w:val="008E1080"/>
    <w:rsid w:val="008E10EC"/>
    <w:rsid w:val="008E1746"/>
    <w:rsid w:val="008E1CB2"/>
    <w:rsid w:val="008E399A"/>
    <w:rsid w:val="008E4B1C"/>
    <w:rsid w:val="008E5697"/>
    <w:rsid w:val="008E56E7"/>
    <w:rsid w:val="008E5E3E"/>
    <w:rsid w:val="008E60C6"/>
    <w:rsid w:val="008E6410"/>
    <w:rsid w:val="008E6673"/>
    <w:rsid w:val="008E6B36"/>
    <w:rsid w:val="008E6D27"/>
    <w:rsid w:val="008E6D84"/>
    <w:rsid w:val="008E728C"/>
    <w:rsid w:val="008E7495"/>
    <w:rsid w:val="008E7B82"/>
    <w:rsid w:val="008F00F6"/>
    <w:rsid w:val="008F0722"/>
    <w:rsid w:val="008F0A17"/>
    <w:rsid w:val="008F11A8"/>
    <w:rsid w:val="008F1A9C"/>
    <w:rsid w:val="008F1BB9"/>
    <w:rsid w:val="008F1FD2"/>
    <w:rsid w:val="008F2CB3"/>
    <w:rsid w:val="008F3208"/>
    <w:rsid w:val="008F321C"/>
    <w:rsid w:val="008F36EB"/>
    <w:rsid w:val="008F3DCB"/>
    <w:rsid w:val="008F45B5"/>
    <w:rsid w:val="008F4FF8"/>
    <w:rsid w:val="008F5338"/>
    <w:rsid w:val="008F5725"/>
    <w:rsid w:val="008F641E"/>
    <w:rsid w:val="008F643A"/>
    <w:rsid w:val="008F6AE6"/>
    <w:rsid w:val="008F6BE0"/>
    <w:rsid w:val="008F6DB4"/>
    <w:rsid w:val="008F73C6"/>
    <w:rsid w:val="008F7C84"/>
    <w:rsid w:val="008F7CC2"/>
    <w:rsid w:val="00900443"/>
    <w:rsid w:val="0090088F"/>
    <w:rsid w:val="00900A46"/>
    <w:rsid w:val="00900A82"/>
    <w:rsid w:val="00900D8A"/>
    <w:rsid w:val="0090124F"/>
    <w:rsid w:val="0090136B"/>
    <w:rsid w:val="00901980"/>
    <w:rsid w:val="00903206"/>
    <w:rsid w:val="00903245"/>
    <w:rsid w:val="0090392E"/>
    <w:rsid w:val="00904868"/>
    <w:rsid w:val="009048E4"/>
    <w:rsid w:val="009051D4"/>
    <w:rsid w:val="00905260"/>
    <w:rsid w:val="009052E6"/>
    <w:rsid w:val="009052FB"/>
    <w:rsid w:val="00905CCE"/>
    <w:rsid w:val="00906757"/>
    <w:rsid w:val="00906883"/>
    <w:rsid w:val="00906BD8"/>
    <w:rsid w:val="00907F91"/>
    <w:rsid w:val="0091033C"/>
    <w:rsid w:val="00910E05"/>
    <w:rsid w:val="00910F33"/>
    <w:rsid w:val="00911567"/>
    <w:rsid w:val="00911D2A"/>
    <w:rsid w:val="00911DC3"/>
    <w:rsid w:val="00912E38"/>
    <w:rsid w:val="0091367B"/>
    <w:rsid w:val="009136F8"/>
    <w:rsid w:val="00913792"/>
    <w:rsid w:val="009137AE"/>
    <w:rsid w:val="009138E6"/>
    <w:rsid w:val="00913F2F"/>
    <w:rsid w:val="009142E5"/>
    <w:rsid w:val="00914C4C"/>
    <w:rsid w:val="0091535E"/>
    <w:rsid w:val="0091582E"/>
    <w:rsid w:val="00915979"/>
    <w:rsid w:val="009159F5"/>
    <w:rsid w:val="00915A6C"/>
    <w:rsid w:val="00916A98"/>
    <w:rsid w:val="00917122"/>
    <w:rsid w:val="009174C0"/>
    <w:rsid w:val="009176DB"/>
    <w:rsid w:val="00917C8B"/>
    <w:rsid w:val="00917DB6"/>
    <w:rsid w:val="00920389"/>
    <w:rsid w:val="00920DBC"/>
    <w:rsid w:val="009217C5"/>
    <w:rsid w:val="00922155"/>
    <w:rsid w:val="00922386"/>
    <w:rsid w:val="00922C39"/>
    <w:rsid w:val="00922F5F"/>
    <w:rsid w:val="00924107"/>
    <w:rsid w:val="0092441B"/>
    <w:rsid w:val="009245CC"/>
    <w:rsid w:val="00924AD9"/>
    <w:rsid w:val="00924E75"/>
    <w:rsid w:val="00925399"/>
    <w:rsid w:val="00926131"/>
    <w:rsid w:val="00927057"/>
    <w:rsid w:val="00927B23"/>
    <w:rsid w:val="0093067C"/>
    <w:rsid w:val="009312E2"/>
    <w:rsid w:val="00931905"/>
    <w:rsid w:val="00931A06"/>
    <w:rsid w:val="009323AB"/>
    <w:rsid w:val="009327B3"/>
    <w:rsid w:val="00932EFD"/>
    <w:rsid w:val="0093338E"/>
    <w:rsid w:val="009333D1"/>
    <w:rsid w:val="009336CE"/>
    <w:rsid w:val="009340D0"/>
    <w:rsid w:val="00934D2D"/>
    <w:rsid w:val="00934FCA"/>
    <w:rsid w:val="009352CC"/>
    <w:rsid w:val="00935DD1"/>
    <w:rsid w:val="00935EEC"/>
    <w:rsid w:val="00936576"/>
    <w:rsid w:val="00936AE1"/>
    <w:rsid w:val="00936DF9"/>
    <w:rsid w:val="00937250"/>
    <w:rsid w:val="009378B5"/>
    <w:rsid w:val="009404E5"/>
    <w:rsid w:val="00940B71"/>
    <w:rsid w:val="00940C30"/>
    <w:rsid w:val="00940C42"/>
    <w:rsid w:val="00940ED1"/>
    <w:rsid w:val="00941071"/>
    <w:rsid w:val="00941C69"/>
    <w:rsid w:val="00942C8C"/>
    <w:rsid w:val="00942F1E"/>
    <w:rsid w:val="00943169"/>
    <w:rsid w:val="009435E3"/>
    <w:rsid w:val="00943A22"/>
    <w:rsid w:val="00943E6F"/>
    <w:rsid w:val="00944331"/>
    <w:rsid w:val="00944B06"/>
    <w:rsid w:val="00945089"/>
    <w:rsid w:val="009450C1"/>
    <w:rsid w:val="0094547F"/>
    <w:rsid w:val="00945681"/>
    <w:rsid w:val="00946098"/>
    <w:rsid w:val="009460C2"/>
    <w:rsid w:val="00946879"/>
    <w:rsid w:val="00946C9B"/>
    <w:rsid w:val="00946D58"/>
    <w:rsid w:val="00947266"/>
    <w:rsid w:val="00947466"/>
    <w:rsid w:val="00950261"/>
    <w:rsid w:val="00951B3A"/>
    <w:rsid w:val="00951EEC"/>
    <w:rsid w:val="009521A4"/>
    <w:rsid w:val="00952A23"/>
    <w:rsid w:val="00952DD0"/>
    <w:rsid w:val="00953770"/>
    <w:rsid w:val="00953F5F"/>
    <w:rsid w:val="0095492E"/>
    <w:rsid w:val="009549B7"/>
    <w:rsid w:val="00954A3A"/>
    <w:rsid w:val="00954B1C"/>
    <w:rsid w:val="00954F90"/>
    <w:rsid w:val="00955159"/>
    <w:rsid w:val="00955778"/>
    <w:rsid w:val="00955BE0"/>
    <w:rsid w:val="0095631E"/>
    <w:rsid w:val="00956C72"/>
    <w:rsid w:val="009570F0"/>
    <w:rsid w:val="00960269"/>
    <w:rsid w:val="00960CC5"/>
    <w:rsid w:val="009637D6"/>
    <w:rsid w:val="0096380C"/>
    <w:rsid w:val="00963E47"/>
    <w:rsid w:val="009641B0"/>
    <w:rsid w:val="009641FA"/>
    <w:rsid w:val="00964BAC"/>
    <w:rsid w:val="00965BAB"/>
    <w:rsid w:val="00965F41"/>
    <w:rsid w:val="009665A3"/>
    <w:rsid w:val="00966751"/>
    <w:rsid w:val="009667ED"/>
    <w:rsid w:val="00966D27"/>
    <w:rsid w:val="00967326"/>
    <w:rsid w:val="0096749E"/>
    <w:rsid w:val="00967776"/>
    <w:rsid w:val="00967F61"/>
    <w:rsid w:val="0097013D"/>
    <w:rsid w:val="0097060C"/>
    <w:rsid w:val="00970949"/>
    <w:rsid w:val="00970D3E"/>
    <w:rsid w:val="00970DA0"/>
    <w:rsid w:val="009711AF"/>
    <w:rsid w:val="00971785"/>
    <w:rsid w:val="009717CB"/>
    <w:rsid w:val="00971F7D"/>
    <w:rsid w:val="00971FC9"/>
    <w:rsid w:val="00972223"/>
    <w:rsid w:val="00972635"/>
    <w:rsid w:val="00972737"/>
    <w:rsid w:val="00972D2F"/>
    <w:rsid w:val="00972E3F"/>
    <w:rsid w:val="00972FCB"/>
    <w:rsid w:val="00972FD8"/>
    <w:rsid w:val="00973A8D"/>
    <w:rsid w:val="00973A8F"/>
    <w:rsid w:val="00974331"/>
    <w:rsid w:val="009749B0"/>
    <w:rsid w:val="00974C9C"/>
    <w:rsid w:val="009750BE"/>
    <w:rsid w:val="009753BD"/>
    <w:rsid w:val="00975440"/>
    <w:rsid w:val="009758FF"/>
    <w:rsid w:val="00975D04"/>
    <w:rsid w:val="0097611B"/>
    <w:rsid w:val="009763C8"/>
    <w:rsid w:val="00976493"/>
    <w:rsid w:val="00976AB4"/>
    <w:rsid w:val="00976E06"/>
    <w:rsid w:val="009775BC"/>
    <w:rsid w:val="0098079F"/>
    <w:rsid w:val="009809ED"/>
    <w:rsid w:val="00980D43"/>
    <w:rsid w:val="00980F32"/>
    <w:rsid w:val="00980F83"/>
    <w:rsid w:val="00981545"/>
    <w:rsid w:val="00982246"/>
    <w:rsid w:val="0098254E"/>
    <w:rsid w:val="009829BE"/>
    <w:rsid w:val="00983175"/>
    <w:rsid w:val="0098345A"/>
    <w:rsid w:val="0098404D"/>
    <w:rsid w:val="0098416C"/>
    <w:rsid w:val="00984B24"/>
    <w:rsid w:val="00985468"/>
    <w:rsid w:val="00985A08"/>
    <w:rsid w:val="00985CFC"/>
    <w:rsid w:val="00986825"/>
    <w:rsid w:val="00986BB3"/>
    <w:rsid w:val="00986CBF"/>
    <w:rsid w:val="00986DDF"/>
    <w:rsid w:val="009871B1"/>
    <w:rsid w:val="00987464"/>
    <w:rsid w:val="00987553"/>
    <w:rsid w:val="0098777D"/>
    <w:rsid w:val="00987825"/>
    <w:rsid w:val="00990037"/>
    <w:rsid w:val="00990C7E"/>
    <w:rsid w:val="00991017"/>
    <w:rsid w:val="0099164B"/>
    <w:rsid w:val="00991F83"/>
    <w:rsid w:val="00992760"/>
    <w:rsid w:val="0099289F"/>
    <w:rsid w:val="00992925"/>
    <w:rsid w:val="00992933"/>
    <w:rsid w:val="00992C86"/>
    <w:rsid w:val="0099326F"/>
    <w:rsid w:val="00993295"/>
    <w:rsid w:val="0099340B"/>
    <w:rsid w:val="009935E0"/>
    <w:rsid w:val="009937EB"/>
    <w:rsid w:val="009942F8"/>
    <w:rsid w:val="00994468"/>
    <w:rsid w:val="0099469D"/>
    <w:rsid w:val="00994C1B"/>
    <w:rsid w:val="00994C70"/>
    <w:rsid w:val="00994E49"/>
    <w:rsid w:val="00995189"/>
    <w:rsid w:val="0099565A"/>
    <w:rsid w:val="00997158"/>
    <w:rsid w:val="009971C0"/>
    <w:rsid w:val="00997A9C"/>
    <w:rsid w:val="009A028B"/>
    <w:rsid w:val="009A064C"/>
    <w:rsid w:val="009A0724"/>
    <w:rsid w:val="009A0B52"/>
    <w:rsid w:val="009A0E6D"/>
    <w:rsid w:val="009A125A"/>
    <w:rsid w:val="009A17C8"/>
    <w:rsid w:val="009A1E4D"/>
    <w:rsid w:val="009A2587"/>
    <w:rsid w:val="009A2B80"/>
    <w:rsid w:val="009A3094"/>
    <w:rsid w:val="009A3461"/>
    <w:rsid w:val="009A3614"/>
    <w:rsid w:val="009A37DD"/>
    <w:rsid w:val="009A4308"/>
    <w:rsid w:val="009A4DD8"/>
    <w:rsid w:val="009A4FD6"/>
    <w:rsid w:val="009A50AB"/>
    <w:rsid w:val="009A50E9"/>
    <w:rsid w:val="009A532F"/>
    <w:rsid w:val="009A558D"/>
    <w:rsid w:val="009A5FE7"/>
    <w:rsid w:val="009A692E"/>
    <w:rsid w:val="009A6B62"/>
    <w:rsid w:val="009A6EE4"/>
    <w:rsid w:val="009A6F3B"/>
    <w:rsid w:val="009A6FBC"/>
    <w:rsid w:val="009A7C22"/>
    <w:rsid w:val="009A7CC1"/>
    <w:rsid w:val="009A7E40"/>
    <w:rsid w:val="009B0AA3"/>
    <w:rsid w:val="009B0F7B"/>
    <w:rsid w:val="009B11B2"/>
    <w:rsid w:val="009B1396"/>
    <w:rsid w:val="009B14F1"/>
    <w:rsid w:val="009B1501"/>
    <w:rsid w:val="009B15A5"/>
    <w:rsid w:val="009B18AF"/>
    <w:rsid w:val="009B21D2"/>
    <w:rsid w:val="009B22BC"/>
    <w:rsid w:val="009B29A3"/>
    <w:rsid w:val="009B2B41"/>
    <w:rsid w:val="009B2B59"/>
    <w:rsid w:val="009B2E3A"/>
    <w:rsid w:val="009B2E86"/>
    <w:rsid w:val="009B31E9"/>
    <w:rsid w:val="009B3564"/>
    <w:rsid w:val="009B3ABE"/>
    <w:rsid w:val="009B3B90"/>
    <w:rsid w:val="009B3BF5"/>
    <w:rsid w:val="009B425E"/>
    <w:rsid w:val="009B4F6C"/>
    <w:rsid w:val="009B4FB4"/>
    <w:rsid w:val="009B544E"/>
    <w:rsid w:val="009B5B78"/>
    <w:rsid w:val="009B5BEB"/>
    <w:rsid w:val="009B5D69"/>
    <w:rsid w:val="009B5E21"/>
    <w:rsid w:val="009B642C"/>
    <w:rsid w:val="009B6F0E"/>
    <w:rsid w:val="009B7073"/>
    <w:rsid w:val="009B731C"/>
    <w:rsid w:val="009B750A"/>
    <w:rsid w:val="009B7B45"/>
    <w:rsid w:val="009C007B"/>
    <w:rsid w:val="009C02E6"/>
    <w:rsid w:val="009C0CC5"/>
    <w:rsid w:val="009C1225"/>
    <w:rsid w:val="009C12B8"/>
    <w:rsid w:val="009C1512"/>
    <w:rsid w:val="009C1574"/>
    <w:rsid w:val="009C1C43"/>
    <w:rsid w:val="009C1ED4"/>
    <w:rsid w:val="009C24DA"/>
    <w:rsid w:val="009C2A7F"/>
    <w:rsid w:val="009C350C"/>
    <w:rsid w:val="009C4172"/>
    <w:rsid w:val="009C43EF"/>
    <w:rsid w:val="009C44E2"/>
    <w:rsid w:val="009C4A22"/>
    <w:rsid w:val="009C5861"/>
    <w:rsid w:val="009C60A5"/>
    <w:rsid w:val="009C65CD"/>
    <w:rsid w:val="009C68EC"/>
    <w:rsid w:val="009C69F7"/>
    <w:rsid w:val="009C6DBE"/>
    <w:rsid w:val="009C7500"/>
    <w:rsid w:val="009C769C"/>
    <w:rsid w:val="009C798B"/>
    <w:rsid w:val="009C799F"/>
    <w:rsid w:val="009C7FB4"/>
    <w:rsid w:val="009D01B4"/>
    <w:rsid w:val="009D01EF"/>
    <w:rsid w:val="009D06CA"/>
    <w:rsid w:val="009D0A0F"/>
    <w:rsid w:val="009D1011"/>
    <w:rsid w:val="009D18EC"/>
    <w:rsid w:val="009D19E4"/>
    <w:rsid w:val="009D1D09"/>
    <w:rsid w:val="009D2125"/>
    <w:rsid w:val="009D2269"/>
    <w:rsid w:val="009D2430"/>
    <w:rsid w:val="009D2EE9"/>
    <w:rsid w:val="009D2F1D"/>
    <w:rsid w:val="009D2F35"/>
    <w:rsid w:val="009D2F36"/>
    <w:rsid w:val="009D30F7"/>
    <w:rsid w:val="009D3D20"/>
    <w:rsid w:val="009D3F5A"/>
    <w:rsid w:val="009D42AF"/>
    <w:rsid w:val="009D4491"/>
    <w:rsid w:val="009D489E"/>
    <w:rsid w:val="009D4C39"/>
    <w:rsid w:val="009D57B8"/>
    <w:rsid w:val="009D5829"/>
    <w:rsid w:val="009D6089"/>
    <w:rsid w:val="009D60AF"/>
    <w:rsid w:val="009D62B1"/>
    <w:rsid w:val="009D63D5"/>
    <w:rsid w:val="009D6C99"/>
    <w:rsid w:val="009D7A7A"/>
    <w:rsid w:val="009D7AFA"/>
    <w:rsid w:val="009D7BC5"/>
    <w:rsid w:val="009D7DF4"/>
    <w:rsid w:val="009D7F67"/>
    <w:rsid w:val="009E08D7"/>
    <w:rsid w:val="009E0D35"/>
    <w:rsid w:val="009E1039"/>
    <w:rsid w:val="009E13EF"/>
    <w:rsid w:val="009E1856"/>
    <w:rsid w:val="009E1BF7"/>
    <w:rsid w:val="009E20C4"/>
    <w:rsid w:val="009E2256"/>
    <w:rsid w:val="009E2388"/>
    <w:rsid w:val="009E25FB"/>
    <w:rsid w:val="009E2CCE"/>
    <w:rsid w:val="009E2F0A"/>
    <w:rsid w:val="009E2F0D"/>
    <w:rsid w:val="009E37D7"/>
    <w:rsid w:val="009E3A23"/>
    <w:rsid w:val="009E3A6E"/>
    <w:rsid w:val="009E3CC8"/>
    <w:rsid w:val="009E3D52"/>
    <w:rsid w:val="009E4115"/>
    <w:rsid w:val="009E4712"/>
    <w:rsid w:val="009E4BE0"/>
    <w:rsid w:val="009E4BFC"/>
    <w:rsid w:val="009E559B"/>
    <w:rsid w:val="009E5F34"/>
    <w:rsid w:val="009E6545"/>
    <w:rsid w:val="009E681E"/>
    <w:rsid w:val="009E6E5D"/>
    <w:rsid w:val="009E6ECB"/>
    <w:rsid w:val="009E723E"/>
    <w:rsid w:val="009E754C"/>
    <w:rsid w:val="009E77AF"/>
    <w:rsid w:val="009F0042"/>
    <w:rsid w:val="009F021B"/>
    <w:rsid w:val="009F0452"/>
    <w:rsid w:val="009F06AF"/>
    <w:rsid w:val="009F104C"/>
    <w:rsid w:val="009F10A6"/>
    <w:rsid w:val="009F2674"/>
    <w:rsid w:val="009F29BA"/>
    <w:rsid w:val="009F2A58"/>
    <w:rsid w:val="009F43AC"/>
    <w:rsid w:val="009F4628"/>
    <w:rsid w:val="009F4BB4"/>
    <w:rsid w:val="009F5317"/>
    <w:rsid w:val="009F5EE0"/>
    <w:rsid w:val="009F5F0F"/>
    <w:rsid w:val="009F5F43"/>
    <w:rsid w:val="009F64C8"/>
    <w:rsid w:val="009F6793"/>
    <w:rsid w:val="009F69EF"/>
    <w:rsid w:val="00A002F4"/>
    <w:rsid w:val="00A012F4"/>
    <w:rsid w:val="00A01378"/>
    <w:rsid w:val="00A01AC3"/>
    <w:rsid w:val="00A01AD6"/>
    <w:rsid w:val="00A022E8"/>
    <w:rsid w:val="00A02505"/>
    <w:rsid w:val="00A029F7"/>
    <w:rsid w:val="00A02DA5"/>
    <w:rsid w:val="00A03A89"/>
    <w:rsid w:val="00A03FEC"/>
    <w:rsid w:val="00A04544"/>
    <w:rsid w:val="00A04DFD"/>
    <w:rsid w:val="00A0563B"/>
    <w:rsid w:val="00A05B7C"/>
    <w:rsid w:val="00A05DCE"/>
    <w:rsid w:val="00A05DF4"/>
    <w:rsid w:val="00A06463"/>
    <w:rsid w:val="00A06768"/>
    <w:rsid w:val="00A07821"/>
    <w:rsid w:val="00A07DB0"/>
    <w:rsid w:val="00A1036D"/>
    <w:rsid w:val="00A1049F"/>
    <w:rsid w:val="00A111CF"/>
    <w:rsid w:val="00A119C6"/>
    <w:rsid w:val="00A11A4E"/>
    <w:rsid w:val="00A11A59"/>
    <w:rsid w:val="00A11DDB"/>
    <w:rsid w:val="00A12079"/>
    <w:rsid w:val="00A120DD"/>
    <w:rsid w:val="00A12C87"/>
    <w:rsid w:val="00A12DF4"/>
    <w:rsid w:val="00A12EA2"/>
    <w:rsid w:val="00A1335A"/>
    <w:rsid w:val="00A1358D"/>
    <w:rsid w:val="00A13A27"/>
    <w:rsid w:val="00A13F9C"/>
    <w:rsid w:val="00A14042"/>
    <w:rsid w:val="00A140F5"/>
    <w:rsid w:val="00A14266"/>
    <w:rsid w:val="00A14ACB"/>
    <w:rsid w:val="00A14D80"/>
    <w:rsid w:val="00A14F59"/>
    <w:rsid w:val="00A150F9"/>
    <w:rsid w:val="00A1526E"/>
    <w:rsid w:val="00A1545A"/>
    <w:rsid w:val="00A159FA"/>
    <w:rsid w:val="00A15B81"/>
    <w:rsid w:val="00A15F52"/>
    <w:rsid w:val="00A16A10"/>
    <w:rsid w:val="00A17B5E"/>
    <w:rsid w:val="00A17C06"/>
    <w:rsid w:val="00A2010D"/>
    <w:rsid w:val="00A20376"/>
    <w:rsid w:val="00A2043E"/>
    <w:rsid w:val="00A20BC7"/>
    <w:rsid w:val="00A20CFB"/>
    <w:rsid w:val="00A21158"/>
    <w:rsid w:val="00A21CBE"/>
    <w:rsid w:val="00A21EC4"/>
    <w:rsid w:val="00A22160"/>
    <w:rsid w:val="00A22579"/>
    <w:rsid w:val="00A2295E"/>
    <w:rsid w:val="00A22C59"/>
    <w:rsid w:val="00A22DEE"/>
    <w:rsid w:val="00A2351E"/>
    <w:rsid w:val="00A23C0B"/>
    <w:rsid w:val="00A245E7"/>
    <w:rsid w:val="00A247A0"/>
    <w:rsid w:val="00A24D5D"/>
    <w:rsid w:val="00A25045"/>
    <w:rsid w:val="00A2522D"/>
    <w:rsid w:val="00A2558F"/>
    <w:rsid w:val="00A25D13"/>
    <w:rsid w:val="00A25D6F"/>
    <w:rsid w:val="00A26151"/>
    <w:rsid w:val="00A26773"/>
    <w:rsid w:val="00A2680D"/>
    <w:rsid w:val="00A26E22"/>
    <w:rsid w:val="00A2755E"/>
    <w:rsid w:val="00A27A76"/>
    <w:rsid w:val="00A30032"/>
    <w:rsid w:val="00A30D3A"/>
    <w:rsid w:val="00A314C5"/>
    <w:rsid w:val="00A3160C"/>
    <w:rsid w:val="00A32097"/>
    <w:rsid w:val="00A32126"/>
    <w:rsid w:val="00A324B1"/>
    <w:rsid w:val="00A32660"/>
    <w:rsid w:val="00A32B6F"/>
    <w:rsid w:val="00A32CD5"/>
    <w:rsid w:val="00A32E57"/>
    <w:rsid w:val="00A33062"/>
    <w:rsid w:val="00A33110"/>
    <w:rsid w:val="00A332E4"/>
    <w:rsid w:val="00A33BCC"/>
    <w:rsid w:val="00A33D9E"/>
    <w:rsid w:val="00A33EEF"/>
    <w:rsid w:val="00A34C04"/>
    <w:rsid w:val="00A34C5B"/>
    <w:rsid w:val="00A34E4C"/>
    <w:rsid w:val="00A3509B"/>
    <w:rsid w:val="00A3511D"/>
    <w:rsid w:val="00A358C1"/>
    <w:rsid w:val="00A3595C"/>
    <w:rsid w:val="00A35B3F"/>
    <w:rsid w:val="00A35B6D"/>
    <w:rsid w:val="00A36137"/>
    <w:rsid w:val="00A361CA"/>
    <w:rsid w:val="00A36603"/>
    <w:rsid w:val="00A368C6"/>
    <w:rsid w:val="00A36956"/>
    <w:rsid w:val="00A36D8D"/>
    <w:rsid w:val="00A36EC6"/>
    <w:rsid w:val="00A36F41"/>
    <w:rsid w:val="00A37154"/>
    <w:rsid w:val="00A3749C"/>
    <w:rsid w:val="00A37FA5"/>
    <w:rsid w:val="00A40150"/>
    <w:rsid w:val="00A40552"/>
    <w:rsid w:val="00A4070E"/>
    <w:rsid w:val="00A4077D"/>
    <w:rsid w:val="00A40967"/>
    <w:rsid w:val="00A40AA6"/>
    <w:rsid w:val="00A4109F"/>
    <w:rsid w:val="00A4158D"/>
    <w:rsid w:val="00A42089"/>
    <w:rsid w:val="00A42F4D"/>
    <w:rsid w:val="00A431DF"/>
    <w:rsid w:val="00A43D53"/>
    <w:rsid w:val="00A43D7D"/>
    <w:rsid w:val="00A43EA8"/>
    <w:rsid w:val="00A4477A"/>
    <w:rsid w:val="00A45641"/>
    <w:rsid w:val="00A4569F"/>
    <w:rsid w:val="00A45AE1"/>
    <w:rsid w:val="00A46446"/>
    <w:rsid w:val="00A46E2D"/>
    <w:rsid w:val="00A4767E"/>
    <w:rsid w:val="00A47963"/>
    <w:rsid w:val="00A47BB3"/>
    <w:rsid w:val="00A47D7D"/>
    <w:rsid w:val="00A47FE1"/>
    <w:rsid w:val="00A508F4"/>
    <w:rsid w:val="00A51547"/>
    <w:rsid w:val="00A516DA"/>
    <w:rsid w:val="00A51BEC"/>
    <w:rsid w:val="00A51C0A"/>
    <w:rsid w:val="00A51DA6"/>
    <w:rsid w:val="00A520C4"/>
    <w:rsid w:val="00A5221E"/>
    <w:rsid w:val="00A5281F"/>
    <w:rsid w:val="00A53642"/>
    <w:rsid w:val="00A547B1"/>
    <w:rsid w:val="00A54DB1"/>
    <w:rsid w:val="00A553E4"/>
    <w:rsid w:val="00A55402"/>
    <w:rsid w:val="00A55414"/>
    <w:rsid w:val="00A554A9"/>
    <w:rsid w:val="00A55695"/>
    <w:rsid w:val="00A558E3"/>
    <w:rsid w:val="00A55A1D"/>
    <w:rsid w:val="00A56787"/>
    <w:rsid w:val="00A56B3E"/>
    <w:rsid w:val="00A6028F"/>
    <w:rsid w:val="00A604A1"/>
    <w:rsid w:val="00A611C9"/>
    <w:rsid w:val="00A61510"/>
    <w:rsid w:val="00A615E2"/>
    <w:rsid w:val="00A617F9"/>
    <w:rsid w:val="00A61946"/>
    <w:rsid w:val="00A62245"/>
    <w:rsid w:val="00A62374"/>
    <w:rsid w:val="00A6343D"/>
    <w:rsid w:val="00A634E0"/>
    <w:rsid w:val="00A635CF"/>
    <w:rsid w:val="00A63622"/>
    <w:rsid w:val="00A64E71"/>
    <w:rsid w:val="00A65202"/>
    <w:rsid w:val="00A652BE"/>
    <w:rsid w:val="00A658C6"/>
    <w:rsid w:val="00A658F3"/>
    <w:rsid w:val="00A66EEC"/>
    <w:rsid w:val="00A674DE"/>
    <w:rsid w:val="00A67AF5"/>
    <w:rsid w:val="00A70888"/>
    <w:rsid w:val="00A70904"/>
    <w:rsid w:val="00A71017"/>
    <w:rsid w:val="00A71200"/>
    <w:rsid w:val="00A71748"/>
    <w:rsid w:val="00A719C3"/>
    <w:rsid w:val="00A71AE6"/>
    <w:rsid w:val="00A71F99"/>
    <w:rsid w:val="00A722E6"/>
    <w:rsid w:val="00A72512"/>
    <w:rsid w:val="00A7255E"/>
    <w:rsid w:val="00A7255F"/>
    <w:rsid w:val="00A72CDA"/>
    <w:rsid w:val="00A72D75"/>
    <w:rsid w:val="00A73217"/>
    <w:rsid w:val="00A7334F"/>
    <w:rsid w:val="00A73A4B"/>
    <w:rsid w:val="00A73C17"/>
    <w:rsid w:val="00A73F46"/>
    <w:rsid w:val="00A74839"/>
    <w:rsid w:val="00A74A79"/>
    <w:rsid w:val="00A75654"/>
    <w:rsid w:val="00A75894"/>
    <w:rsid w:val="00A75914"/>
    <w:rsid w:val="00A75B39"/>
    <w:rsid w:val="00A76837"/>
    <w:rsid w:val="00A76A00"/>
    <w:rsid w:val="00A76EAB"/>
    <w:rsid w:val="00A77582"/>
    <w:rsid w:val="00A776E9"/>
    <w:rsid w:val="00A777E2"/>
    <w:rsid w:val="00A778D5"/>
    <w:rsid w:val="00A7796C"/>
    <w:rsid w:val="00A77DC1"/>
    <w:rsid w:val="00A802E1"/>
    <w:rsid w:val="00A80C22"/>
    <w:rsid w:val="00A80F34"/>
    <w:rsid w:val="00A811F4"/>
    <w:rsid w:val="00A81BB8"/>
    <w:rsid w:val="00A82397"/>
    <w:rsid w:val="00A830C2"/>
    <w:rsid w:val="00A83C50"/>
    <w:rsid w:val="00A83D57"/>
    <w:rsid w:val="00A83F76"/>
    <w:rsid w:val="00A842AE"/>
    <w:rsid w:val="00A844B3"/>
    <w:rsid w:val="00A84674"/>
    <w:rsid w:val="00A846C6"/>
    <w:rsid w:val="00A846C7"/>
    <w:rsid w:val="00A8474B"/>
    <w:rsid w:val="00A84961"/>
    <w:rsid w:val="00A84B15"/>
    <w:rsid w:val="00A852A9"/>
    <w:rsid w:val="00A85353"/>
    <w:rsid w:val="00A86879"/>
    <w:rsid w:val="00A868BE"/>
    <w:rsid w:val="00A871B7"/>
    <w:rsid w:val="00A87D4B"/>
    <w:rsid w:val="00A9044E"/>
    <w:rsid w:val="00A905BE"/>
    <w:rsid w:val="00A913AB"/>
    <w:rsid w:val="00A91B99"/>
    <w:rsid w:val="00A91D23"/>
    <w:rsid w:val="00A91EB6"/>
    <w:rsid w:val="00A92002"/>
    <w:rsid w:val="00A923B6"/>
    <w:rsid w:val="00A92BF4"/>
    <w:rsid w:val="00A92CA0"/>
    <w:rsid w:val="00A9356A"/>
    <w:rsid w:val="00A937F4"/>
    <w:rsid w:val="00A9472D"/>
    <w:rsid w:val="00A94DAC"/>
    <w:rsid w:val="00A94F52"/>
    <w:rsid w:val="00A95627"/>
    <w:rsid w:val="00A9591D"/>
    <w:rsid w:val="00A95FB4"/>
    <w:rsid w:val="00A961C2"/>
    <w:rsid w:val="00A96F49"/>
    <w:rsid w:val="00A96FB5"/>
    <w:rsid w:val="00A97148"/>
    <w:rsid w:val="00A97953"/>
    <w:rsid w:val="00AA0098"/>
    <w:rsid w:val="00AA01BA"/>
    <w:rsid w:val="00AA0BB2"/>
    <w:rsid w:val="00AA1607"/>
    <w:rsid w:val="00AA1BA6"/>
    <w:rsid w:val="00AA2204"/>
    <w:rsid w:val="00AA23CC"/>
    <w:rsid w:val="00AA2401"/>
    <w:rsid w:val="00AA296B"/>
    <w:rsid w:val="00AA2CF1"/>
    <w:rsid w:val="00AA2D4B"/>
    <w:rsid w:val="00AA32FB"/>
    <w:rsid w:val="00AA39EA"/>
    <w:rsid w:val="00AA3FBA"/>
    <w:rsid w:val="00AA40D5"/>
    <w:rsid w:val="00AA4342"/>
    <w:rsid w:val="00AA5468"/>
    <w:rsid w:val="00AA594C"/>
    <w:rsid w:val="00AA6FEE"/>
    <w:rsid w:val="00AA7F50"/>
    <w:rsid w:val="00AB0434"/>
    <w:rsid w:val="00AB0BC1"/>
    <w:rsid w:val="00AB0F9E"/>
    <w:rsid w:val="00AB35D7"/>
    <w:rsid w:val="00AB387E"/>
    <w:rsid w:val="00AB45B8"/>
    <w:rsid w:val="00AB4737"/>
    <w:rsid w:val="00AB4B23"/>
    <w:rsid w:val="00AB4D64"/>
    <w:rsid w:val="00AB5005"/>
    <w:rsid w:val="00AB5374"/>
    <w:rsid w:val="00AB5423"/>
    <w:rsid w:val="00AB579C"/>
    <w:rsid w:val="00AB5A39"/>
    <w:rsid w:val="00AB5ACB"/>
    <w:rsid w:val="00AB5BB3"/>
    <w:rsid w:val="00AB617E"/>
    <w:rsid w:val="00AB6445"/>
    <w:rsid w:val="00AB6F45"/>
    <w:rsid w:val="00AB76ED"/>
    <w:rsid w:val="00AB7972"/>
    <w:rsid w:val="00AB7ED2"/>
    <w:rsid w:val="00AB7EE9"/>
    <w:rsid w:val="00AC00F0"/>
    <w:rsid w:val="00AC028D"/>
    <w:rsid w:val="00AC0FFB"/>
    <w:rsid w:val="00AC1131"/>
    <w:rsid w:val="00AC1322"/>
    <w:rsid w:val="00AC13E4"/>
    <w:rsid w:val="00AC1B8A"/>
    <w:rsid w:val="00AC240F"/>
    <w:rsid w:val="00AC327A"/>
    <w:rsid w:val="00AC3317"/>
    <w:rsid w:val="00AC355A"/>
    <w:rsid w:val="00AC3A48"/>
    <w:rsid w:val="00AC42BA"/>
    <w:rsid w:val="00AC489C"/>
    <w:rsid w:val="00AC51DD"/>
    <w:rsid w:val="00AC568C"/>
    <w:rsid w:val="00AC5A29"/>
    <w:rsid w:val="00AC5A5C"/>
    <w:rsid w:val="00AC5B06"/>
    <w:rsid w:val="00AC685D"/>
    <w:rsid w:val="00AC76CD"/>
    <w:rsid w:val="00AC7E12"/>
    <w:rsid w:val="00AC7F4E"/>
    <w:rsid w:val="00AD009D"/>
    <w:rsid w:val="00AD0D5A"/>
    <w:rsid w:val="00AD1986"/>
    <w:rsid w:val="00AD1BF3"/>
    <w:rsid w:val="00AD2323"/>
    <w:rsid w:val="00AD255A"/>
    <w:rsid w:val="00AD3175"/>
    <w:rsid w:val="00AD373A"/>
    <w:rsid w:val="00AD3A43"/>
    <w:rsid w:val="00AD3B0B"/>
    <w:rsid w:val="00AD3C03"/>
    <w:rsid w:val="00AD3DBD"/>
    <w:rsid w:val="00AD4817"/>
    <w:rsid w:val="00AD4C1D"/>
    <w:rsid w:val="00AD4C9D"/>
    <w:rsid w:val="00AD4CB4"/>
    <w:rsid w:val="00AD5503"/>
    <w:rsid w:val="00AD5CEF"/>
    <w:rsid w:val="00AD5E61"/>
    <w:rsid w:val="00AD5F3B"/>
    <w:rsid w:val="00AD6392"/>
    <w:rsid w:val="00AD6640"/>
    <w:rsid w:val="00AD725C"/>
    <w:rsid w:val="00AD7399"/>
    <w:rsid w:val="00AD786A"/>
    <w:rsid w:val="00AD7A26"/>
    <w:rsid w:val="00AD7C8B"/>
    <w:rsid w:val="00AD7E5F"/>
    <w:rsid w:val="00AE0018"/>
    <w:rsid w:val="00AE0671"/>
    <w:rsid w:val="00AE091C"/>
    <w:rsid w:val="00AE0C99"/>
    <w:rsid w:val="00AE0DEF"/>
    <w:rsid w:val="00AE0F49"/>
    <w:rsid w:val="00AE10A5"/>
    <w:rsid w:val="00AE112B"/>
    <w:rsid w:val="00AE146C"/>
    <w:rsid w:val="00AE1CB4"/>
    <w:rsid w:val="00AE206A"/>
    <w:rsid w:val="00AE25E7"/>
    <w:rsid w:val="00AE2A99"/>
    <w:rsid w:val="00AE3231"/>
    <w:rsid w:val="00AE3678"/>
    <w:rsid w:val="00AE37C7"/>
    <w:rsid w:val="00AE4225"/>
    <w:rsid w:val="00AE55EE"/>
    <w:rsid w:val="00AE5FFA"/>
    <w:rsid w:val="00AE6204"/>
    <w:rsid w:val="00AE62D3"/>
    <w:rsid w:val="00AE67C8"/>
    <w:rsid w:val="00AE6BDF"/>
    <w:rsid w:val="00AE6C92"/>
    <w:rsid w:val="00AE6D07"/>
    <w:rsid w:val="00AE710A"/>
    <w:rsid w:val="00AE7549"/>
    <w:rsid w:val="00AE7A56"/>
    <w:rsid w:val="00AF047A"/>
    <w:rsid w:val="00AF0604"/>
    <w:rsid w:val="00AF07C9"/>
    <w:rsid w:val="00AF174C"/>
    <w:rsid w:val="00AF1FF5"/>
    <w:rsid w:val="00AF2C0F"/>
    <w:rsid w:val="00AF3E4C"/>
    <w:rsid w:val="00AF421C"/>
    <w:rsid w:val="00AF428A"/>
    <w:rsid w:val="00AF463F"/>
    <w:rsid w:val="00AF501C"/>
    <w:rsid w:val="00AF5A6A"/>
    <w:rsid w:val="00AF61E9"/>
    <w:rsid w:val="00AF61F8"/>
    <w:rsid w:val="00AF66EE"/>
    <w:rsid w:val="00AF7812"/>
    <w:rsid w:val="00AF7CCF"/>
    <w:rsid w:val="00AF7D26"/>
    <w:rsid w:val="00B00034"/>
    <w:rsid w:val="00B000D0"/>
    <w:rsid w:val="00B001CD"/>
    <w:rsid w:val="00B00581"/>
    <w:rsid w:val="00B0117C"/>
    <w:rsid w:val="00B02381"/>
    <w:rsid w:val="00B026CF"/>
    <w:rsid w:val="00B02FA2"/>
    <w:rsid w:val="00B040E3"/>
    <w:rsid w:val="00B04895"/>
    <w:rsid w:val="00B04BD2"/>
    <w:rsid w:val="00B05DF2"/>
    <w:rsid w:val="00B06569"/>
    <w:rsid w:val="00B0794C"/>
    <w:rsid w:val="00B079B3"/>
    <w:rsid w:val="00B10668"/>
    <w:rsid w:val="00B10F02"/>
    <w:rsid w:val="00B11A32"/>
    <w:rsid w:val="00B12043"/>
    <w:rsid w:val="00B120FF"/>
    <w:rsid w:val="00B123AC"/>
    <w:rsid w:val="00B125A6"/>
    <w:rsid w:val="00B12B6D"/>
    <w:rsid w:val="00B12E9B"/>
    <w:rsid w:val="00B1346A"/>
    <w:rsid w:val="00B13507"/>
    <w:rsid w:val="00B137A2"/>
    <w:rsid w:val="00B13E16"/>
    <w:rsid w:val="00B14432"/>
    <w:rsid w:val="00B1469C"/>
    <w:rsid w:val="00B14BD2"/>
    <w:rsid w:val="00B14DB1"/>
    <w:rsid w:val="00B14FDD"/>
    <w:rsid w:val="00B1547E"/>
    <w:rsid w:val="00B15650"/>
    <w:rsid w:val="00B1679B"/>
    <w:rsid w:val="00B167B4"/>
    <w:rsid w:val="00B17486"/>
    <w:rsid w:val="00B1753A"/>
    <w:rsid w:val="00B176F0"/>
    <w:rsid w:val="00B17DCC"/>
    <w:rsid w:val="00B202DF"/>
    <w:rsid w:val="00B20851"/>
    <w:rsid w:val="00B208AD"/>
    <w:rsid w:val="00B20A43"/>
    <w:rsid w:val="00B20B02"/>
    <w:rsid w:val="00B20E07"/>
    <w:rsid w:val="00B21B1D"/>
    <w:rsid w:val="00B220EB"/>
    <w:rsid w:val="00B229AB"/>
    <w:rsid w:val="00B2399D"/>
    <w:rsid w:val="00B23BC8"/>
    <w:rsid w:val="00B24D2E"/>
    <w:rsid w:val="00B25527"/>
    <w:rsid w:val="00B25579"/>
    <w:rsid w:val="00B2578E"/>
    <w:rsid w:val="00B25BFE"/>
    <w:rsid w:val="00B25D50"/>
    <w:rsid w:val="00B26938"/>
    <w:rsid w:val="00B26A02"/>
    <w:rsid w:val="00B270D3"/>
    <w:rsid w:val="00B300E5"/>
    <w:rsid w:val="00B303FC"/>
    <w:rsid w:val="00B3073F"/>
    <w:rsid w:val="00B308E3"/>
    <w:rsid w:val="00B310F1"/>
    <w:rsid w:val="00B31235"/>
    <w:rsid w:val="00B316F4"/>
    <w:rsid w:val="00B31F46"/>
    <w:rsid w:val="00B31F4D"/>
    <w:rsid w:val="00B3235C"/>
    <w:rsid w:val="00B323E1"/>
    <w:rsid w:val="00B326B3"/>
    <w:rsid w:val="00B3279C"/>
    <w:rsid w:val="00B32BBF"/>
    <w:rsid w:val="00B32BED"/>
    <w:rsid w:val="00B32EDA"/>
    <w:rsid w:val="00B33288"/>
    <w:rsid w:val="00B33704"/>
    <w:rsid w:val="00B34129"/>
    <w:rsid w:val="00B3457C"/>
    <w:rsid w:val="00B34684"/>
    <w:rsid w:val="00B34768"/>
    <w:rsid w:val="00B355E6"/>
    <w:rsid w:val="00B356CF"/>
    <w:rsid w:val="00B358B2"/>
    <w:rsid w:val="00B358C5"/>
    <w:rsid w:val="00B35BF0"/>
    <w:rsid w:val="00B36149"/>
    <w:rsid w:val="00B375B3"/>
    <w:rsid w:val="00B37F47"/>
    <w:rsid w:val="00B40A86"/>
    <w:rsid w:val="00B421F6"/>
    <w:rsid w:val="00B4228A"/>
    <w:rsid w:val="00B42575"/>
    <w:rsid w:val="00B42B25"/>
    <w:rsid w:val="00B42D55"/>
    <w:rsid w:val="00B43BE9"/>
    <w:rsid w:val="00B43D1E"/>
    <w:rsid w:val="00B43D93"/>
    <w:rsid w:val="00B43ED2"/>
    <w:rsid w:val="00B442C4"/>
    <w:rsid w:val="00B44FBE"/>
    <w:rsid w:val="00B46618"/>
    <w:rsid w:val="00B46F28"/>
    <w:rsid w:val="00B4756C"/>
    <w:rsid w:val="00B4770B"/>
    <w:rsid w:val="00B50236"/>
    <w:rsid w:val="00B50757"/>
    <w:rsid w:val="00B50B8C"/>
    <w:rsid w:val="00B51267"/>
    <w:rsid w:val="00B51563"/>
    <w:rsid w:val="00B5169A"/>
    <w:rsid w:val="00B51701"/>
    <w:rsid w:val="00B51CE5"/>
    <w:rsid w:val="00B51F54"/>
    <w:rsid w:val="00B51FF1"/>
    <w:rsid w:val="00B520F1"/>
    <w:rsid w:val="00B52176"/>
    <w:rsid w:val="00B52B0B"/>
    <w:rsid w:val="00B52CB3"/>
    <w:rsid w:val="00B52E57"/>
    <w:rsid w:val="00B5306C"/>
    <w:rsid w:val="00B531B9"/>
    <w:rsid w:val="00B53236"/>
    <w:rsid w:val="00B5358A"/>
    <w:rsid w:val="00B5382C"/>
    <w:rsid w:val="00B53A39"/>
    <w:rsid w:val="00B53DA6"/>
    <w:rsid w:val="00B54235"/>
    <w:rsid w:val="00B54898"/>
    <w:rsid w:val="00B54B36"/>
    <w:rsid w:val="00B54B85"/>
    <w:rsid w:val="00B5550F"/>
    <w:rsid w:val="00B55738"/>
    <w:rsid w:val="00B56801"/>
    <w:rsid w:val="00B5695C"/>
    <w:rsid w:val="00B56D19"/>
    <w:rsid w:val="00B578B3"/>
    <w:rsid w:val="00B57D4C"/>
    <w:rsid w:val="00B610F6"/>
    <w:rsid w:val="00B614AB"/>
    <w:rsid w:val="00B61D99"/>
    <w:rsid w:val="00B61E58"/>
    <w:rsid w:val="00B621E4"/>
    <w:rsid w:val="00B624EC"/>
    <w:rsid w:val="00B625F9"/>
    <w:rsid w:val="00B6272A"/>
    <w:rsid w:val="00B62A43"/>
    <w:rsid w:val="00B6318B"/>
    <w:rsid w:val="00B63A51"/>
    <w:rsid w:val="00B63CBC"/>
    <w:rsid w:val="00B63F01"/>
    <w:rsid w:val="00B64D06"/>
    <w:rsid w:val="00B64F03"/>
    <w:rsid w:val="00B65231"/>
    <w:rsid w:val="00B6566C"/>
    <w:rsid w:val="00B6593E"/>
    <w:rsid w:val="00B66588"/>
    <w:rsid w:val="00B66C36"/>
    <w:rsid w:val="00B66D23"/>
    <w:rsid w:val="00B67E5C"/>
    <w:rsid w:val="00B7068D"/>
    <w:rsid w:val="00B7074F"/>
    <w:rsid w:val="00B7092A"/>
    <w:rsid w:val="00B7095E"/>
    <w:rsid w:val="00B70CA4"/>
    <w:rsid w:val="00B70E75"/>
    <w:rsid w:val="00B714B9"/>
    <w:rsid w:val="00B71522"/>
    <w:rsid w:val="00B71E58"/>
    <w:rsid w:val="00B7202B"/>
    <w:rsid w:val="00B726CC"/>
    <w:rsid w:val="00B72BD0"/>
    <w:rsid w:val="00B737A9"/>
    <w:rsid w:val="00B7467F"/>
    <w:rsid w:val="00B7479E"/>
    <w:rsid w:val="00B74C37"/>
    <w:rsid w:val="00B74CE8"/>
    <w:rsid w:val="00B74EB0"/>
    <w:rsid w:val="00B75166"/>
    <w:rsid w:val="00B75C26"/>
    <w:rsid w:val="00B7731F"/>
    <w:rsid w:val="00B77E54"/>
    <w:rsid w:val="00B802E9"/>
    <w:rsid w:val="00B80518"/>
    <w:rsid w:val="00B8061F"/>
    <w:rsid w:val="00B80697"/>
    <w:rsid w:val="00B80F74"/>
    <w:rsid w:val="00B80F75"/>
    <w:rsid w:val="00B81252"/>
    <w:rsid w:val="00B814D7"/>
    <w:rsid w:val="00B81555"/>
    <w:rsid w:val="00B81AD9"/>
    <w:rsid w:val="00B81B32"/>
    <w:rsid w:val="00B8240D"/>
    <w:rsid w:val="00B837B9"/>
    <w:rsid w:val="00B840BA"/>
    <w:rsid w:val="00B84632"/>
    <w:rsid w:val="00B8485A"/>
    <w:rsid w:val="00B852B1"/>
    <w:rsid w:val="00B85AA6"/>
    <w:rsid w:val="00B85C3F"/>
    <w:rsid w:val="00B86675"/>
    <w:rsid w:val="00B86BC0"/>
    <w:rsid w:val="00B871AE"/>
    <w:rsid w:val="00B8753F"/>
    <w:rsid w:val="00B8790F"/>
    <w:rsid w:val="00B87BB0"/>
    <w:rsid w:val="00B87C25"/>
    <w:rsid w:val="00B9027E"/>
    <w:rsid w:val="00B903EF"/>
    <w:rsid w:val="00B91EAA"/>
    <w:rsid w:val="00B92017"/>
    <w:rsid w:val="00B92673"/>
    <w:rsid w:val="00B928BE"/>
    <w:rsid w:val="00B93033"/>
    <w:rsid w:val="00B93054"/>
    <w:rsid w:val="00B933F4"/>
    <w:rsid w:val="00B93911"/>
    <w:rsid w:val="00B94005"/>
    <w:rsid w:val="00B94079"/>
    <w:rsid w:val="00B941B9"/>
    <w:rsid w:val="00B944E9"/>
    <w:rsid w:val="00B9583B"/>
    <w:rsid w:val="00B96023"/>
    <w:rsid w:val="00BA06A2"/>
    <w:rsid w:val="00BA089A"/>
    <w:rsid w:val="00BA097F"/>
    <w:rsid w:val="00BA10B0"/>
    <w:rsid w:val="00BA1D12"/>
    <w:rsid w:val="00BA32FE"/>
    <w:rsid w:val="00BA3723"/>
    <w:rsid w:val="00BA3BD8"/>
    <w:rsid w:val="00BA3E1F"/>
    <w:rsid w:val="00BA3F19"/>
    <w:rsid w:val="00BA58C1"/>
    <w:rsid w:val="00BA5A61"/>
    <w:rsid w:val="00BA5F12"/>
    <w:rsid w:val="00BA79BB"/>
    <w:rsid w:val="00BA7D8B"/>
    <w:rsid w:val="00BA7F7B"/>
    <w:rsid w:val="00BB02BA"/>
    <w:rsid w:val="00BB0782"/>
    <w:rsid w:val="00BB0838"/>
    <w:rsid w:val="00BB1112"/>
    <w:rsid w:val="00BB19DB"/>
    <w:rsid w:val="00BB1F95"/>
    <w:rsid w:val="00BB218E"/>
    <w:rsid w:val="00BB233E"/>
    <w:rsid w:val="00BB263B"/>
    <w:rsid w:val="00BB27E1"/>
    <w:rsid w:val="00BB302E"/>
    <w:rsid w:val="00BB34D4"/>
    <w:rsid w:val="00BB35D9"/>
    <w:rsid w:val="00BB3D10"/>
    <w:rsid w:val="00BB3E7A"/>
    <w:rsid w:val="00BB3FF8"/>
    <w:rsid w:val="00BB434A"/>
    <w:rsid w:val="00BB497D"/>
    <w:rsid w:val="00BB4B55"/>
    <w:rsid w:val="00BB52E1"/>
    <w:rsid w:val="00BB5827"/>
    <w:rsid w:val="00BB5979"/>
    <w:rsid w:val="00BB5BA0"/>
    <w:rsid w:val="00BB740E"/>
    <w:rsid w:val="00BB76E7"/>
    <w:rsid w:val="00BC01C4"/>
    <w:rsid w:val="00BC03AE"/>
    <w:rsid w:val="00BC0D69"/>
    <w:rsid w:val="00BC119E"/>
    <w:rsid w:val="00BC1C13"/>
    <w:rsid w:val="00BC2159"/>
    <w:rsid w:val="00BC2210"/>
    <w:rsid w:val="00BC239C"/>
    <w:rsid w:val="00BC2473"/>
    <w:rsid w:val="00BC37F9"/>
    <w:rsid w:val="00BC3802"/>
    <w:rsid w:val="00BC3830"/>
    <w:rsid w:val="00BC3E36"/>
    <w:rsid w:val="00BC4739"/>
    <w:rsid w:val="00BC4BF4"/>
    <w:rsid w:val="00BC4F72"/>
    <w:rsid w:val="00BC520F"/>
    <w:rsid w:val="00BC55D2"/>
    <w:rsid w:val="00BC5A9E"/>
    <w:rsid w:val="00BC6072"/>
    <w:rsid w:val="00BC607F"/>
    <w:rsid w:val="00BC6FBC"/>
    <w:rsid w:val="00BC7AE2"/>
    <w:rsid w:val="00BD0A34"/>
    <w:rsid w:val="00BD1524"/>
    <w:rsid w:val="00BD1645"/>
    <w:rsid w:val="00BD229D"/>
    <w:rsid w:val="00BD24DA"/>
    <w:rsid w:val="00BD2CE1"/>
    <w:rsid w:val="00BD3167"/>
    <w:rsid w:val="00BD32F0"/>
    <w:rsid w:val="00BD34BE"/>
    <w:rsid w:val="00BD375B"/>
    <w:rsid w:val="00BD3DCE"/>
    <w:rsid w:val="00BD3F4E"/>
    <w:rsid w:val="00BD4A7F"/>
    <w:rsid w:val="00BD4C72"/>
    <w:rsid w:val="00BD5910"/>
    <w:rsid w:val="00BD594B"/>
    <w:rsid w:val="00BD600D"/>
    <w:rsid w:val="00BD646F"/>
    <w:rsid w:val="00BD66BC"/>
    <w:rsid w:val="00BD69EB"/>
    <w:rsid w:val="00BD7EB2"/>
    <w:rsid w:val="00BE0314"/>
    <w:rsid w:val="00BE08CF"/>
    <w:rsid w:val="00BE094B"/>
    <w:rsid w:val="00BE0A49"/>
    <w:rsid w:val="00BE0B64"/>
    <w:rsid w:val="00BE0BCB"/>
    <w:rsid w:val="00BE0CA1"/>
    <w:rsid w:val="00BE10DE"/>
    <w:rsid w:val="00BE1B70"/>
    <w:rsid w:val="00BE1F62"/>
    <w:rsid w:val="00BE2B43"/>
    <w:rsid w:val="00BE2BB3"/>
    <w:rsid w:val="00BE3171"/>
    <w:rsid w:val="00BE3244"/>
    <w:rsid w:val="00BE4481"/>
    <w:rsid w:val="00BE44EB"/>
    <w:rsid w:val="00BE4B07"/>
    <w:rsid w:val="00BE4EE0"/>
    <w:rsid w:val="00BE54BF"/>
    <w:rsid w:val="00BE5694"/>
    <w:rsid w:val="00BE5E60"/>
    <w:rsid w:val="00BE5F0F"/>
    <w:rsid w:val="00BE61B3"/>
    <w:rsid w:val="00BE6785"/>
    <w:rsid w:val="00BE71DC"/>
    <w:rsid w:val="00BE7726"/>
    <w:rsid w:val="00BE77A5"/>
    <w:rsid w:val="00BE7F96"/>
    <w:rsid w:val="00BF094A"/>
    <w:rsid w:val="00BF0CE2"/>
    <w:rsid w:val="00BF175A"/>
    <w:rsid w:val="00BF1BE5"/>
    <w:rsid w:val="00BF1D6E"/>
    <w:rsid w:val="00BF21A5"/>
    <w:rsid w:val="00BF253B"/>
    <w:rsid w:val="00BF2AC9"/>
    <w:rsid w:val="00BF30BA"/>
    <w:rsid w:val="00BF339C"/>
    <w:rsid w:val="00BF33BB"/>
    <w:rsid w:val="00BF38B9"/>
    <w:rsid w:val="00BF3E05"/>
    <w:rsid w:val="00BF41DB"/>
    <w:rsid w:val="00BF4348"/>
    <w:rsid w:val="00BF441A"/>
    <w:rsid w:val="00BF4A5D"/>
    <w:rsid w:val="00BF51A1"/>
    <w:rsid w:val="00BF5529"/>
    <w:rsid w:val="00BF5C98"/>
    <w:rsid w:val="00BF5F2B"/>
    <w:rsid w:val="00BF68F9"/>
    <w:rsid w:val="00BF6A00"/>
    <w:rsid w:val="00BF6B15"/>
    <w:rsid w:val="00BF6F1C"/>
    <w:rsid w:val="00BF7726"/>
    <w:rsid w:val="00BF7D0D"/>
    <w:rsid w:val="00C00093"/>
    <w:rsid w:val="00C00F99"/>
    <w:rsid w:val="00C01161"/>
    <w:rsid w:val="00C01BE4"/>
    <w:rsid w:val="00C01FF0"/>
    <w:rsid w:val="00C027F3"/>
    <w:rsid w:val="00C02F31"/>
    <w:rsid w:val="00C03419"/>
    <w:rsid w:val="00C0461C"/>
    <w:rsid w:val="00C04D18"/>
    <w:rsid w:val="00C0530B"/>
    <w:rsid w:val="00C0593C"/>
    <w:rsid w:val="00C05E01"/>
    <w:rsid w:val="00C05E8E"/>
    <w:rsid w:val="00C05F38"/>
    <w:rsid w:val="00C06294"/>
    <w:rsid w:val="00C0649C"/>
    <w:rsid w:val="00C06674"/>
    <w:rsid w:val="00C067D6"/>
    <w:rsid w:val="00C076F5"/>
    <w:rsid w:val="00C077AB"/>
    <w:rsid w:val="00C07B5F"/>
    <w:rsid w:val="00C1078C"/>
    <w:rsid w:val="00C1084A"/>
    <w:rsid w:val="00C1192C"/>
    <w:rsid w:val="00C11F05"/>
    <w:rsid w:val="00C12138"/>
    <w:rsid w:val="00C12577"/>
    <w:rsid w:val="00C12F1F"/>
    <w:rsid w:val="00C130F8"/>
    <w:rsid w:val="00C1319E"/>
    <w:rsid w:val="00C137BC"/>
    <w:rsid w:val="00C14243"/>
    <w:rsid w:val="00C14361"/>
    <w:rsid w:val="00C144B4"/>
    <w:rsid w:val="00C14564"/>
    <w:rsid w:val="00C14948"/>
    <w:rsid w:val="00C14BF7"/>
    <w:rsid w:val="00C14DDE"/>
    <w:rsid w:val="00C14F32"/>
    <w:rsid w:val="00C15226"/>
    <w:rsid w:val="00C1559C"/>
    <w:rsid w:val="00C156DC"/>
    <w:rsid w:val="00C15ACC"/>
    <w:rsid w:val="00C16D08"/>
    <w:rsid w:val="00C17912"/>
    <w:rsid w:val="00C2102D"/>
    <w:rsid w:val="00C21215"/>
    <w:rsid w:val="00C21A74"/>
    <w:rsid w:val="00C21B21"/>
    <w:rsid w:val="00C21DFD"/>
    <w:rsid w:val="00C2220A"/>
    <w:rsid w:val="00C229A8"/>
    <w:rsid w:val="00C22C25"/>
    <w:rsid w:val="00C22CD9"/>
    <w:rsid w:val="00C2385C"/>
    <w:rsid w:val="00C23932"/>
    <w:rsid w:val="00C23A02"/>
    <w:rsid w:val="00C23D26"/>
    <w:rsid w:val="00C2411C"/>
    <w:rsid w:val="00C24226"/>
    <w:rsid w:val="00C243E0"/>
    <w:rsid w:val="00C2489A"/>
    <w:rsid w:val="00C249C6"/>
    <w:rsid w:val="00C24A75"/>
    <w:rsid w:val="00C25338"/>
    <w:rsid w:val="00C2539D"/>
    <w:rsid w:val="00C257E4"/>
    <w:rsid w:val="00C25A03"/>
    <w:rsid w:val="00C25CF2"/>
    <w:rsid w:val="00C26118"/>
    <w:rsid w:val="00C263E0"/>
    <w:rsid w:val="00C26A9D"/>
    <w:rsid w:val="00C26C31"/>
    <w:rsid w:val="00C27265"/>
    <w:rsid w:val="00C278F4"/>
    <w:rsid w:val="00C300FA"/>
    <w:rsid w:val="00C30FE9"/>
    <w:rsid w:val="00C32230"/>
    <w:rsid w:val="00C322BA"/>
    <w:rsid w:val="00C32CBC"/>
    <w:rsid w:val="00C3328A"/>
    <w:rsid w:val="00C3332D"/>
    <w:rsid w:val="00C33BB6"/>
    <w:rsid w:val="00C34829"/>
    <w:rsid w:val="00C35201"/>
    <w:rsid w:val="00C352C0"/>
    <w:rsid w:val="00C3549D"/>
    <w:rsid w:val="00C35E91"/>
    <w:rsid w:val="00C37A20"/>
    <w:rsid w:val="00C37B77"/>
    <w:rsid w:val="00C37BB7"/>
    <w:rsid w:val="00C37EDB"/>
    <w:rsid w:val="00C401C2"/>
    <w:rsid w:val="00C40B42"/>
    <w:rsid w:val="00C41952"/>
    <w:rsid w:val="00C41E23"/>
    <w:rsid w:val="00C41E58"/>
    <w:rsid w:val="00C421BE"/>
    <w:rsid w:val="00C42B9C"/>
    <w:rsid w:val="00C42DD0"/>
    <w:rsid w:val="00C432AC"/>
    <w:rsid w:val="00C4392F"/>
    <w:rsid w:val="00C43A76"/>
    <w:rsid w:val="00C43E76"/>
    <w:rsid w:val="00C4470C"/>
    <w:rsid w:val="00C45056"/>
    <w:rsid w:val="00C4518D"/>
    <w:rsid w:val="00C4578C"/>
    <w:rsid w:val="00C45B9E"/>
    <w:rsid w:val="00C466E7"/>
    <w:rsid w:val="00C47075"/>
    <w:rsid w:val="00C473AB"/>
    <w:rsid w:val="00C479B0"/>
    <w:rsid w:val="00C47E61"/>
    <w:rsid w:val="00C50328"/>
    <w:rsid w:val="00C508AD"/>
    <w:rsid w:val="00C50EE3"/>
    <w:rsid w:val="00C5109E"/>
    <w:rsid w:val="00C511A7"/>
    <w:rsid w:val="00C515E0"/>
    <w:rsid w:val="00C5163D"/>
    <w:rsid w:val="00C5178B"/>
    <w:rsid w:val="00C5276F"/>
    <w:rsid w:val="00C5277D"/>
    <w:rsid w:val="00C5295A"/>
    <w:rsid w:val="00C52D6B"/>
    <w:rsid w:val="00C52DBC"/>
    <w:rsid w:val="00C53094"/>
    <w:rsid w:val="00C5327F"/>
    <w:rsid w:val="00C53F91"/>
    <w:rsid w:val="00C53FC2"/>
    <w:rsid w:val="00C54306"/>
    <w:rsid w:val="00C54BE8"/>
    <w:rsid w:val="00C54D49"/>
    <w:rsid w:val="00C55203"/>
    <w:rsid w:val="00C556F4"/>
    <w:rsid w:val="00C55DD5"/>
    <w:rsid w:val="00C55F2A"/>
    <w:rsid w:val="00C5620A"/>
    <w:rsid w:val="00C566DD"/>
    <w:rsid w:val="00C5731C"/>
    <w:rsid w:val="00C6061B"/>
    <w:rsid w:val="00C60A7A"/>
    <w:rsid w:val="00C60F0A"/>
    <w:rsid w:val="00C614C8"/>
    <w:rsid w:val="00C61D9E"/>
    <w:rsid w:val="00C6259C"/>
    <w:rsid w:val="00C62772"/>
    <w:rsid w:val="00C62829"/>
    <w:rsid w:val="00C6328C"/>
    <w:rsid w:val="00C63757"/>
    <w:rsid w:val="00C63E00"/>
    <w:rsid w:val="00C643D9"/>
    <w:rsid w:val="00C64553"/>
    <w:rsid w:val="00C64850"/>
    <w:rsid w:val="00C64A14"/>
    <w:rsid w:val="00C64BC5"/>
    <w:rsid w:val="00C64E8E"/>
    <w:rsid w:val="00C64EA9"/>
    <w:rsid w:val="00C650EF"/>
    <w:rsid w:val="00C65145"/>
    <w:rsid w:val="00C65494"/>
    <w:rsid w:val="00C659D3"/>
    <w:rsid w:val="00C65BAA"/>
    <w:rsid w:val="00C65BF4"/>
    <w:rsid w:val="00C66221"/>
    <w:rsid w:val="00C66565"/>
    <w:rsid w:val="00C67142"/>
    <w:rsid w:val="00C67329"/>
    <w:rsid w:val="00C703F4"/>
    <w:rsid w:val="00C71E9B"/>
    <w:rsid w:val="00C722D3"/>
    <w:rsid w:val="00C7254E"/>
    <w:rsid w:val="00C72AD6"/>
    <w:rsid w:val="00C72D25"/>
    <w:rsid w:val="00C73EEF"/>
    <w:rsid w:val="00C741C0"/>
    <w:rsid w:val="00C743A6"/>
    <w:rsid w:val="00C75144"/>
    <w:rsid w:val="00C7516E"/>
    <w:rsid w:val="00C75374"/>
    <w:rsid w:val="00C75551"/>
    <w:rsid w:val="00C764B5"/>
    <w:rsid w:val="00C7674C"/>
    <w:rsid w:val="00C768DE"/>
    <w:rsid w:val="00C769C4"/>
    <w:rsid w:val="00C76B36"/>
    <w:rsid w:val="00C77672"/>
    <w:rsid w:val="00C81798"/>
    <w:rsid w:val="00C81834"/>
    <w:rsid w:val="00C81A5B"/>
    <w:rsid w:val="00C81D46"/>
    <w:rsid w:val="00C81DE1"/>
    <w:rsid w:val="00C81E43"/>
    <w:rsid w:val="00C82455"/>
    <w:rsid w:val="00C8277C"/>
    <w:rsid w:val="00C82A1F"/>
    <w:rsid w:val="00C82B06"/>
    <w:rsid w:val="00C82B18"/>
    <w:rsid w:val="00C82B8B"/>
    <w:rsid w:val="00C82DEB"/>
    <w:rsid w:val="00C83079"/>
    <w:rsid w:val="00C83172"/>
    <w:rsid w:val="00C83F3F"/>
    <w:rsid w:val="00C84164"/>
    <w:rsid w:val="00C84A5D"/>
    <w:rsid w:val="00C84F25"/>
    <w:rsid w:val="00C85BC8"/>
    <w:rsid w:val="00C86749"/>
    <w:rsid w:val="00C8691F"/>
    <w:rsid w:val="00C86A76"/>
    <w:rsid w:val="00C870BA"/>
    <w:rsid w:val="00C871E0"/>
    <w:rsid w:val="00C87773"/>
    <w:rsid w:val="00C87C6A"/>
    <w:rsid w:val="00C87CE8"/>
    <w:rsid w:val="00C9018E"/>
    <w:rsid w:val="00C907A7"/>
    <w:rsid w:val="00C9105F"/>
    <w:rsid w:val="00C91100"/>
    <w:rsid w:val="00C91532"/>
    <w:rsid w:val="00C92165"/>
    <w:rsid w:val="00C92247"/>
    <w:rsid w:val="00C92A8A"/>
    <w:rsid w:val="00C92C30"/>
    <w:rsid w:val="00C92FA3"/>
    <w:rsid w:val="00C9341B"/>
    <w:rsid w:val="00C94288"/>
    <w:rsid w:val="00C94398"/>
    <w:rsid w:val="00C9439C"/>
    <w:rsid w:val="00C944B2"/>
    <w:rsid w:val="00C951FC"/>
    <w:rsid w:val="00C95200"/>
    <w:rsid w:val="00C95930"/>
    <w:rsid w:val="00C95A52"/>
    <w:rsid w:val="00C95B8D"/>
    <w:rsid w:val="00C95CB8"/>
    <w:rsid w:val="00C96558"/>
    <w:rsid w:val="00C96845"/>
    <w:rsid w:val="00C96B0C"/>
    <w:rsid w:val="00C96EDB"/>
    <w:rsid w:val="00C9727F"/>
    <w:rsid w:val="00C979B8"/>
    <w:rsid w:val="00C97CE8"/>
    <w:rsid w:val="00C97ED3"/>
    <w:rsid w:val="00CA0AC2"/>
    <w:rsid w:val="00CA14ED"/>
    <w:rsid w:val="00CA14F6"/>
    <w:rsid w:val="00CA2999"/>
    <w:rsid w:val="00CA35E7"/>
    <w:rsid w:val="00CA3AD2"/>
    <w:rsid w:val="00CA3B6C"/>
    <w:rsid w:val="00CA4A66"/>
    <w:rsid w:val="00CA4D17"/>
    <w:rsid w:val="00CA55C5"/>
    <w:rsid w:val="00CA5927"/>
    <w:rsid w:val="00CA59AB"/>
    <w:rsid w:val="00CA59AF"/>
    <w:rsid w:val="00CA5FFD"/>
    <w:rsid w:val="00CA601E"/>
    <w:rsid w:val="00CA6149"/>
    <w:rsid w:val="00CA63C3"/>
    <w:rsid w:val="00CA685F"/>
    <w:rsid w:val="00CA6910"/>
    <w:rsid w:val="00CB019D"/>
    <w:rsid w:val="00CB031A"/>
    <w:rsid w:val="00CB118D"/>
    <w:rsid w:val="00CB11AE"/>
    <w:rsid w:val="00CB1C4E"/>
    <w:rsid w:val="00CB20B8"/>
    <w:rsid w:val="00CB22E1"/>
    <w:rsid w:val="00CB2660"/>
    <w:rsid w:val="00CB29DC"/>
    <w:rsid w:val="00CB2FF1"/>
    <w:rsid w:val="00CB302F"/>
    <w:rsid w:val="00CB388E"/>
    <w:rsid w:val="00CB38CB"/>
    <w:rsid w:val="00CB39E1"/>
    <w:rsid w:val="00CB3C2C"/>
    <w:rsid w:val="00CB45B4"/>
    <w:rsid w:val="00CB4EC1"/>
    <w:rsid w:val="00CB5442"/>
    <w:rsid w:val="00CB5DFD"/>
    <w:rsid w:val="00CB668E"/>
    <w:rsid w:val="00CB6BCC"/>
    <w:rsid w:val="00CB6C56"/>
    <w:rsid w:val="00CB6E8E"/>
    <w:rsid w:val="00CB6F91"/>
    <w:rsid w:val="00CB7472"/>
    <w:rsid w:val="00CB756E"/>
    <w:rsid w:val="00CB7A9D"/>
    <w:rsid w:val="00CC0440"/>
    <w:rsid w:val="00CC097D"/>
    <w:rsid w:val="00CC0B3C"/>
    <w:rsid w:val="00CC1130"/>
    <w:rsid w:val="00CC21CF"/>
    <w:rsid w:val="00CC283B"/>
    <w:rsid w:val="00CC2BCD"/>
    <w:rsid w:val="00CC2E09"/>
    <w:rsid w:val="00CC3354"/>
    <w:rsid w:val="00CC344C"/>
    <w:rsid w:val="00CC4007"/>
    <w:rsid w:val="00CC40F9"/>
    <w:rsid w:val="00CC44F8"/>
    <w:rsid w:val="00CC488B"/>
    <w:rsid w:val="00CC4F69"/>
    <w:rsid w:val="00CC5C71"/>
    <w:rsid w:val="00CC6059"/>
    <w:rsid w:val="00CC634A"/>
    <w:rsid w:val="00CC67BA"/>
    <w:rsid w:val="00CC73DF"/>
    <w:rsid w:val="00CC76B2"/>
    <w:rsid w:val="00CD008E"/>
    <w:rsid w:val="00CD01CA"/>
    <w:rsid w:val="00CD03AB"/>
    <w:rsid w:val="00CD107F"/>
    <w:rsid w:val="00CD128E"/>
    <w:rsid w:val="00CD1715"/>
    <w:rsid w:val="00CD1C90"/>
    <w:rsid w:val="00CD1C97"/>
    <w:rsid w:val="00CD2A38"/>
    <w:rsid w:val="00CD2B55"/>
    <w:rsid w:val="00CD30C2"/>
    <w:rsid w:val="00CD3328"/>
    <w:rsid w:val="00CD364B"/>
    <w:rsid w:val="00CD3982"/>
    <w:rsid w:val="00CD3FE7"/>
    <w:rsid w:val="00CD4165"/>
    <w:rsid w:val="00CD47FE"/>
    <w:rsid w:val="00CD482B"/>
    <w:rsid w:val="00CD6005"/>
    <w:rsid w:val="00CD68C7"/>
    <w:rsid w:val="00CD69E3"/>
    <w:rsid w:val="00CD70B2"/>
    <w:rsid w:val="00CD75A2"/>
    <w:rsid w:val="00CE0B1B"/>
    <w:rsid w:val="00CE0B6B"/>
    <w:rsid w:val="00CE0C8D"/>
    <w:rsid w:val="00CE1248"/>
    <w:rsid w:val="00CE1521"/>
    <w:rsid w:val="00CE1607"/>
    <w:rsid w:val="00CE184A"/>
    <w:rsid w:val="00CE1B0F"/>
    <w:rsid w:val="00CE1E3A"/>
    <w:rsid w:val="00CE1F7F"/>
    <w:rsid w:val="00CE2115"/>
    <w:rsid w:val="00CE24F0"/>
    <w:rsid w:val="00CE3C39"/>
    <w:rsid w:val="00CE3E78"/>
    <w:rsid w:val="00CE3FCB"/>
    <w:rsid w:val="00CE48A2"/>
    <w:rsid w:val="00CE4E38"/>
    <w:rsid w:val="00CE5507"/>
    <w:rsid w:val="00CE552D"/>
    <w:rsid w:val="00CE55DC"/>
    <w:rsid w:val="00CE5D2C"/>
    <w:rsid w:val="00CE5D3A"/>
    <w:rsid w:val="00CE679D"/>
    <w:rsid w:val="00CE6BF5"/>
    <w:rsid w:val="00CE71B9"/>
    <w:rsid w:val="00CE7FB4"/>
    <w:rsid w:val="00CF0467"/>
    <w:rsid w:val="00CF0688"/>
    <w:rsid w:val="00CF075B"/>
    <w:rsid w:val="00CF08E0"/>
    <w:rsid w:val="00CF0A4C"/>
    <w:rsid w:val="00CF0ECB"/>
    <w:rsid w:val="00CF0F0F"/>
    <w:rsid w:val="00CF12AE"/>
    <w:rsid w:val="00CF182A"/>
    <w:rsid w:val="00CF18C4"/>
    <w:rsid w:val="00CF18E8"/>
    <w:rsid w:val="00CF1D1F"/>
    <w:rsid w:val="00CF2C59"/>
    <w:rsid w:val="00CF2F6A"/>
    <w:rsid w:val="00CF324A"/>
    <w:rsid w:val="00CF345A"/>
    <w:rsid w:val="00CF36FA"/>
    <w:rsid w:val="00CF4C28"/>
    <w:rsid w:val="00CF50C8"/>
    <w:rsid w:val="00CF5597"/>
    <w:rsid w:val="00CF5650"/>
    <w:rsid w:val="00CF5CE6"/>
    <w:rsid w:val="00CF60E4"/>
    <w:rsid w:val="00CF6A0C"/>
    <w:rsid w:val="00D00580"/>
    <w:rsid w:val="00D00FD1"/>
    <w:rsid w:val="00D01825"/>
    <w:rsid w:val="00D022C8"/>
    <w:rsid w:val="00D02655"/>
    <w:rsid w:val="00D026C5"/>
    <w:rsid w:val="00D02853"/>
    <w:rsid w:val="00D02A7A"/>
    <w:rsid w:val="00D03092"/>
    <w:rsid w:val="00D034B1"/>
    <w:rsid w:val="00D03EF5"/>
    <w:rsid w:val="00D04029"/>
    <w:rsid w:val="00D04B21"/>
    <w:rsid w:val="00D05DCA"/>
    <w:rsid w:val="00D06663"/>
    <w:rsid w:val="00D067CE"/>
    <w:rsid w:val="00D06E82"/>
    <w:rsid w:val="00D077C0"/>
    <w:rsid w:val="00D07C43"/>
    <w:rsid w:val="00D1025D"/>
    <w:rsid w:val="00D103F1"/>
    <w:rsid w:val="00D10EB5"/>
    <w:rsid w:val="00D1107D"/>
    <w:rsid w:val="00D11987"/>
    <w:rsid w:val="00D1224F"/>
    <w:rsid w:val="00D123AF"/>
    <w:rsid w:val="00D123FB"/>
    <w:rsid w:val="00D125B4"/>
    <w:rsid w:val="00D1295A"/>
    <w:rsid w:val="00D12B43"/>
    <w:rsid w:val="00D12EF8"/>
    <w:rsid w:val="00D1347A"/>
    <w:rsid w:val="00D15234"/>
    <w:rsid w:val="00D15B78"/>
    <w:rsid w:val="00D16788"/>
    <w:rsid w:val="00D1687F"/>
    <w:rsid w:val="00D16BB2"/>
    <w:rsid w:val="00D17226"/>
    <w:rsid w:val="00D17C0B"/>
    <w:rsid w:val="00D17FE2"/>
    <w:rsid w:val="00D2018C"/>
    <w:rsid w:val="00D203C3"/>
    <w:rsid w:val="00D21195"/>
    <w:rsid w:val="00D2126A"/>
    <w:rsid w:val="00D216CF"/>
    <w:rsid w:val="00D21AE3"/>
    <w:rsid w:val="00D21CC7"/>
    <w:rsid w:val="00D21E73"/>
    <w:rsid w:val="00D2227F"/>
    <w:rsid w:val="00D223C3"/>
    <w:rsid w:val="00D2268A"/>
    <w:rsid w:val="00D226E2"/>
    <w:rsid w:val="00D22D46"/>
    <w:rsid w:val="00D23541"/>
    <w:rsid w:val="00D237FC"/>
    <w:rsid w:val="00D2387A"/>
    <w:rsid w:val="00D239B1"/>
    <w:rsid w:val="00D23F8D"/>
    <w:rsid w:val="00D24378"/>
    <w:rsid w:val="00D244FF"/>
    <w:rsid w:val="00D24763"/>
    <w:rsid w:val="00D24B01"/>
    <w:rsid w:val="00D24C11"/>
    <w:rsid w:val="00D2526D"/>
    <w:rsid w:val="00D25542"/>
    <w:rsid w:val="00D256D7"/>
    <w:rsid w:val="00D2576D"/>
    <w:rsid w:val="00D2609D"/>
    <w:rsid w:val="00D26270"/>
    <w:rsid w:val="00D264B9"/>
    <w:rsid w:val="00D2652C"/>
    <w:rsid w:val="00D2653A"/>
    <w:rsid w:val="00D2691C"/>
    <w:rsid w:val="00D26CC5"/>
    <w:rsid w:val="00D26E2F"/>
    <w:rsid w:val="00D26F70"/>
    <w:rsid w:val="00D26FCE"/>
    <w:rsid w:val="00D271A7"/>
    <w:rsid w:val="00D301D0"/>
    <w:rsid w:val="00D30326"/>
    <w:rsid w:val="00D30FD7"/>
    <w:rsid w:val="00D31106"/>
    <w:rsid w:val="00D31357"/>
    <w:rsid w:val="00D31C8C"/>
    <w:rsid w:val="00D3208A"/>
    <w:rsid w:val="00D323C1"/>
    <w:rsid w:val="00D32701"/>
    <w:rsid w:val="00D33164"/>
    <w:rsid w:val="00D33668"/>
    <w:rsid w:val="00D33BBE"/>
    <w:rsid w:val="00D33D72"/>
    <w:rsid w:val="00D34518"/>
    <w:rsid w:val="00D3464E"/>
    <w:rsid w:val="00D34CBD"/>
    <w:rsid w:val="00D34E51"/>
    <w:rsid w:val="00D34FBF"/>
    <w:rsid w:val="00D35187"/>
    <w:rsid w:val="00D35D4B"/>
    <w:rsid w:val="00D363A0"/>
    <w:rsid w:val="00D363EC"/>
    <w:rsid w:val="00D36965"/>
    <w:rsid w:val="00D37928"/>
    <w:rsid w:val="00D3792C"/>
    <w:rsid w:val="00D4032F"/>
    <w:rsid w:val="00D4080D"/>
    <w:rsid w:val="00D40CB4"/>
    <w:rsid w:val="00D40E84"/>
    <w:rsid w:val="00D415D5"/>
    <w:rsid w:val="00D41D95"/>
    <w:rsid w:val="00D4206E"/>
    <w:rsid w:val="00D420A4"/>
    <w:rsid w:val="00D43741"/>
    <w:rsid w:val="00D45855"/>
    <w:rsid w:val="00D4590E"/>
    <w:rsid w:val="00D47524"/>
    <w:rsid w:val="00D475C2"/>
    <w:rsid w:val="00D506E1"/>
    <w:rsid w:val="00D509DB"/>
    <w:rsid w:val="00D50C7E"/>
    <w:rsid w:val="00D50DFB"/>
    <w:rsid w:val="00D50F70"/>
    <w:rsid w:val="00D510D8"/>
    <w:rsid w:val="00D5140C"/>
    <w:rsid w:val="00D51896"/>
    <w:rsid w:val="00D51C74"/>
    <w:rsid w:val="00D527F5"/>
    <w:rsid w:val="00D52A32"/>
    <w:rsid w:val="00D52A9D"/>
    <w:rsid w:val="00D52CA6"/>
    <w:rsid w:val="00D530A5"/>
    <w:rsid w:val="00D53160"/>
    <w:rsid w:val="00D53221"/>
    <w:rsid w:val="00D535BF"/>
    <w:rsid w:val="00D53DEE"/>
    <w:rsid w:val="00D542C0"/>
    <w:rsid w:val="00D54AE1"/>
    <w:rsid w:val="00D5546C"/>
    <w:rsid w:val="00D5554F"/>
    <w:rsid w:val="00D559F4"/>
    <w:rsid w:val="00D55AC0"/>
    <w:rsid w:val="00D55AF2"/>
    <w:rsid w:val="00D55C24"/>
    <w:rsid w:val="00D55E89"/>
    <w:rsid w:val="00D57193"/>
    <w:rsid w:val="00D57233"/>
    <w:rsid w:val="00D574C9"/>
    <w:rsid w:val="00D57628"/>
    <w:rsid w:val="00D5765E"/>
    <w:rsid w:val="00D604D3"/>
    <w:rsid w:val="00D60535"/>
    <w:rsid w:val="00D609CB"/>
    <w:rsid w:val="00D60B3F"/>
    <w:rsid w:val="00D61989"/>
    <w:rsid w:val="00D61BEB"/>
    <w:rsid w:val="00D62147"/>
    <w:rsid w:val="00D624DD"/>
    <w:rsid w:val="00D626D1"/>
    <w:rsid w:val="00D6277E"/>
    <w:rsid w:val="00D628AD"/>
    <w:rsid w:val="00D62A05"/>
    <w:rsid w:val="00D62F47"/>
    <w:rsid w:val="00D633A0"/>
    <w:rsid w:val="00D6378D"/>
    <w:rsid w:val="00D63911"/>
    <w:rsid w:val="00D63969"/>
    <w:rsid w:val="00D63D9F"/>
    <w:rsid w:val="00D643BC"/>
    <w:rsid w:val="00D64F17"/>
    <w:rsid w:val="00D65199"/>
    <w:rsid w:val="00D65322"/>
    <w:rsid w:val="00D65AE8"/>
    <w:rsid w:val="00D65EFC"/>
    <w:rsid w:val="00D6600E"/>
    <w:rsid w:val="00D66F40"/>
    <w:rsid w:val="00D671F7"/>
    <w:rsid w:val="00D67202"/>
    <w:rsid w:val="00D675BC"/>
    <w:rsid w:val="00D6776E"/>
    <w:rsid w:val="00D67ED3"/>
    <w:rsid w:val="00D7026D"/>
    <w:rsid w:val="00D703B3"/>
    <w:rsid w:val="00D70C86"/>
    <w:rsid w:val="00D71A63"/>
    <w:rsid w:val="00D72836"/>
    <w:rsid w:val="00D730AA"/>
    <w:rsid w:val="00D73190"/>
    <w:rsid w:val="00D734C5"/>
    <w:rsid w:val="00D735DA"/>
    <w:rsid w:val="00D73624"/>
    <w:rsid w:val="00D736A2"/>
    <w:rsid w:val="00D7499F"/>
    <w:rsid w:val="00D75483"/>
    <w:rsid w:val="00D75EFE"/>
    <w:rsid w:val="00D775DF"/>
    <w:rsid w:val="00D77BE8"/>
    <w:rsid w:val="00D7F592"/>
    <w:rsid w:val="00D80912"/>
    <w:rsid w:val="00D80987"/>
    <w:rsid w:val="00D80CCF"/>
    <w:rsid w:val="00D80E6D"/>
    <w:rsid w:val="00D80FFB"/>
    <w:rsid w:val="00D811AE"/>
    <w:rsid w:val="00D8162A"/>
    <w:rsid w:val="00D82C42"/>
    <w:rsid w:val="00D83021"/>
    <w:rsid w:val="00D83126"/>
    <w:rsid w:val="00D83D16"/>
    <w:rsid w:val="00D83E87"/>
    <w:rsid w:val="00D84164"/>
    <w:rsid w:val="00D8471B"/>
    <w:rsid w:val="00D84AD4"/>
    <w:rsid w:val="00D84AFD"/>
    <w:rsid w:val="00D84C7D"/>
    <w:rsid w:val="00D8508C"/>
    <w:rsid w:val="00D85446"/>
    <w:rsid w:val="00D85C48"/>
    <w:rsid w:val="00D85EB2"/>
    <w:rsid w:val="00D862BC"/>
    <w:rsid w:val="00D86794"/>
    <w:rsid w:val="00D86E31"/>
    <w:rsid w:val="00D87439"/>
    <w:rsid w:val="00D87C7D"/>
    <w:rsid w:val="00D91108"/>
    <w:rsid w:val="00D92068"/>
    <w:rsid w:val="00D928B5"/>
    <w:rsid w:val="00D93650"/>
    <w:rsid w:val="00D93789"/>
    <w:rsid w:val="00D93A69"/>
    <w:rsid w:val="00D93C99"/>
    <w:rsid w:val="00D93E02"/>
    <w:rsid w:val="00D94244"/>
    <w:rsid w:val="00D9441E"/>
    <w:rsid w:val="00D94D21"/>
    <w:rsid w:val="00D94DBF"/>
    <w:rsid w:val="00D95C2F"/>
    <w:rsid w:val="00D95CDC"/>
    <w:rsid w:val="00D95E9A"/>
    <w:rsid w:val="00D9650D"/>
    <w:rsid w:val="00D96588"/>
    <w:rsid w:val="00D9658F"/>
    <w:rsid w:val="00D967FE"/>
    <w:rsid w:val="00D972D8"/>
    <w:rsid w:val="00D97A3E"/>
    <w:rsid w:val="00D97A61"/>
    <w:rsid w:val="00DA020C"/>
    <w:rsid w:val="00DA1569"/>
    <w:rsid w:val="00DA1EC9"/>
    <w:rsid w:val="00DA22DC"/>
    <w:rsid w:val="00DA2755"/>
    <w:rsid w:val="00DA2ABF"/>
    <w:rsid w:val="00DA2D48"/>
    <w:rsid w:val="00DA2EFE"/>
    <w:rsid w:val="00DA3437"/>
    <w:rsid w:val="00DA353D"/>
    <w:rsid w:val="00DA357C"/>
    <w:rsid w:val="00DA3C75"/>
    <w:rsid w:val="00DA3C91"/>
    <w:rsid w:val="00DA3CEE"/>
    <w:rsid w:val="00DA43D8"/>
    <w:rsid w:val="00DA47D3"/>
    <w:rsid w:val="00DA4954"/>
    <w:rsid w:val="00DA4C5D"/>
    <w:rsid w:val="00DA4C9F"/>
    <w:rsid w:val="00DA5135"/>
    <w:rsid w:val="00DA5733"/>
    <w:rsid w:val="00DA5816"/>
    <w:rsid w:val="00DA5BFD"/>
    <w:rsid w:val="00DA5ECC"/>
    <w:rsid w:val="00DA662B"/>
    <w:rsid w:val="00DA6B9A"/>
    <w:rsid w:val="00DA6BB4"/>
    <w:rsid w:val="00DA6C8E"/>
    <w:rsid w:val="00DA6D94"/>
    <w:rsid w:val="00DA6DDD"/>
    <w:rsid w:val="00DA6E47"/>
    <w:rsid w:val="00DA7ED8"/>
    <w:rsid w:val="00DB0CF0"/>
    <w:rsid w:val="00DB18C8"/>
    <w:rsid w:val="00DB2001"/>
    <w:rsid w:val="00DB307C"/>
    <w:rsid w:val="00DB31F7"/>
    <w:rsid w:val="00DB32B6"/>
    <w:rsid w:val="00DB3496"/>
    <w:rsid w:val="00DB3624"/>
    <w:rsid w:val="00DB3C5D"/>
    <w:rsid w:val="00DB3C74"/>
    <w:rsid w:val="00DB4400"/>
    <w:rsid w:val="00DB4DB4"/>
    <w:rsid w:val="00DB4F6B"/>
    <w:rsid w:val="00DB5115"/>
    <w:rsid w:val="00DB56E3"/>
    <w:rsid w:val="00DB5948"/>
    <w:rsid w:val="00DB5A37"/>
    <w:rsid w:val="00DB5A84"/>
    <w:rsid w:val="00DB6B64"/>
    <w:rsid w:val="00DB6F95"/>
    <w:rsid w:val="00DB7552"/>
    <w:rsid w:val="00DB7AC9"/>
    <w:rsid w:val="00DC01B5"/>
    <w:rsid w:val="00DC05F5"/>
    <w:rsid w:val="00DC0C2D"/>
    <w:rsid w:val="00DC12BC"/>
    <w:rsid w:val="00DC1B8C"/>
    <w:rsid w:val="00DC26C7"/>
    <w:rsid w:val="00DC3143"/>
    <w:rsid w:val="00DC3298"/>
    <w:rsid w:val="00DC3FB9"/>
    <w:rsid w:val="00DC4297"/>
    <w:rsid w:val="00DC43E3"/>
    <w:rsid w:val="00DC4701"/>
    <w:rsid w:val="00DC4782"/>
    <w:rsid w:val="00DC4AF8"/>
    <w:rsid w:val="00DC4FF6"/>
    <w:rsid w:val="00DC5B7A"/>
    <w:rsid w:val="00DC6127"/>
    <w:rsid w:val="00DC6365"/>
    <w:rsid w:val="00DC6733"/>
    <w:rsid w:val="00DC68E6"/>
    <w:rsid w:val="00DC6C9F"/>
    <w:rsid w:val="00DC7A7F"/>
    <w:rsid w:val="00DC7C53"/>
    <w:rsid w:val="00DC7E3A"/>
    <w:rsid w:val="00DD0AE1"/>
    <w:rsid w:val="00DD0C38"/>
    <w:rsid w:val="00DD0E73"/>
    <w:rsid w:val="00DD1FA6"/>
    <w:rsid w:val="00DD242F"/>
    <w:rsid w:val="00DD2612"/>
    <w:rsid w:val="00DD262E"/>
    <w:rsid w:val="00DD3498"/>
    <w:rsid w:val="00DD3E27"/>
    <w:rsid w:val="00DD4619"/>
    <w:rsid w:val="00DD4870"/>
    <w:rsid w:val="00DD4A69"/>
    <w:rsid w:val="00DD4F30"/>
    <w:rsid w:val="00DD5059"/>
    <w:rsid w:val="00DD51E7"/>
    <w:rsid w:val="00DD5235"/>
    <w:rsid w:val="00DD57BB"/>
    <w:rsid w:val="00DD5B0E"/>
    <w:rsid w:val="00DD667E"/>
    <w:rsid w:val="00DD6B9D"/>
    <w:rsid w:val="00DD7821"/>
    <w:rsid w:val="00DE06C5"/>
    <w:rsid w:val="00DE070B"/>
    <w:rsid w:val="00DE073A"/>
    <w:rsid w:val="00DE0F7B"/>
    <w:rsid w:val="00DE1B99"/>
    <w:rsid w:val="00DE2034"/>
    <w:rsid w:val="00DE2B31"/>
    <w:rsid w:val="00DE2C1A"/>
    <w:rsid w:val="00DE31F9"/>
    <w:rsid w:val="00DE340B"/>
    <w:rsid w:val="00DE395A"/>
    <w:rsid w:val="00DE3C9C"/>
    <w:rsid w:val="00DE4323"/>
    <w:rsid w:val="00DE485F"/>
    <w:rsid w:val="00DE507E"/>
    <w:rsid w:val="00DE5656"/>
    <w:rsid w:val="00DE5FF8"/>
    <w:rsid w:val="00DE6B5C"/>
    <w:rsid w:val="00DE723E"/>
    <w:rsid w:val="00DF1770"/>
    <w:rsid w:val="00DF17A8"/>
    <w:rsid w:val="00DF1C89"/>
    <w:rsid w:val="00DF25A3"/>
    <w:rsid w:val="00DF2C9F"/>
    <w:rsid w:val="00DF2F4D"/>
    <w:rsid w:val="00DF3480"/>
    <w:rsid w:val="00DF34A3"/>
    <w:rsid w:val="00DF3585"/>
    <w:rsid w:val="00DF46B5"/>
    <w:rsid w:val="00DF4C1B"/>
    <w:rsid w:val="00DF4C9C"/>
    <w:rsid w:val="00DF54BD"/>
    <w:rsid w:val="00DF5780"/>
    <w:rsid w:val="00DF680C"/>
    <w:rsid w:val="00DF6FE3"/>
    <w:rsid w:val="00DF7637"/>
    <w:rsid w:val="00DF7E39"/>
    <w:rsid w:val="00E00234"/>
    <w:rsid w:val="00E005B1"/>
    <w:rsid w:val="00E00D31"/>
    <w:rsid w:val="00E00D9D"/>
    <w:rsid w:val="00E013B7"/>
    <w:rsid w:val="00E01E66"/>
    <w:rsid w:val="00E0209B"/>
    <w:rsid w:val="00E0212C"/>
    <w:rsid w:val="00E0260A"/>
    <w:rsid w:val="00E031AE"/>
    <w:rsid w:val="00E03D24"/>
    <w:rsid w:val="00E03E88"/>
    <w:rsid w:val="00E041D6"/>
    <w:rsid w:val="00E0448D"/>
    <w:rsid w:val="00E05961"/>
    <w:rsid w:val="00E06380"/>
    <w:rsid w:val="00E06FF9"/>
    <w:rsid w:val="00E07357"/>
    <w:rsid w:val="00E075F9"/>
    <w:rsid w:val="00E07B39"/>
    <w:rsid w:val="00E1014E"/>
    <w:rsid w:val="00E1073E"/>
    <w:rsid w:val="00E10B0B"/>
    <w:rsid w:val="00E11260"/>
    <w:rsid w:val="00E11438"/>
    <w:rsid w:val="00E117F7"/>
    <w:rsid w:val="00E11A90"/>
    <w:rsid w:val="00E12541"/>
    <w:rsid w:val="00E129BA"/>
    <w:rsid w:val="00E12C28"/>
    <w:rsid w:val="00E12C8E"/>
    <w:rsid w:val="00E12CA6"/>
    <w:rsid w:val="00E12E28"/>
    <w:rsid w:val="00E13195"/>
    <w:rsid w:val="00E13671"/>
    <w:rsid w:val="00E13ADA"/>
    <w:rsid w:val="00E14226"/>
    <w:rsid w:val="00E14378"/>
    <w:rsid w:val="00E14C92"/>
    <w:rsid w:val="00E150BA"/>
    <w:rsid w:val="00E154D3"/>
    <w:rsid w:val="00E158B7"/>
    <w:rsid w:val="00E158E1"/>
    <w:rsid w:val="00E15AFB"/>
    <w:rsid w:val="00E15C08"/>
    <w:rsid w:val="00E15F06"/>
    <w:rsid w:val="00E16075"/>
    <w:rsid w:val="00E161CB"/>
    <w:rsid w:val="00E1634E"/>
    <w:rsid w:val="00E169BC"/>
    <w:rsid w:val="00E16BEB"/>
    <w:rsid w:val="00E1713A"/>
    <w:rsid w:val="00E17464"/>
    <w:rsid w:val="00E177BC"/>
    <w:rsid w:val="00E2027D"/>
    <w:rsid w:val="00E20446"/>
    <w:rsid w:val="00E2057D"/>
    <w:rsid w:val="00E20856"/>
    <w:rsid w:val="00E20896"/>
    <w:rsid w:val="00E2113D"/>
    <w:rsid w:val="00E21499"/>
    <w:rsid w:val="00E21769"/>
    <w:rsid w:val="00E21C20"/>
    <w:rsid w:val="00E21DD2"/>
    <w:rsid w:val="00E22185"/>
    <w:rsid w:val="00E22EAB"/>
    <w:rsid w:val="00E239FD"/>
    <w:rsid w:val="00E23C70"/>
    <w:rsid w:val="00E24916"/>
    <w:rsid w:val="00E249D5"/>
    <w:rsid w:val="00E24A36"/>
    <w:rsid w:val="00E24E43"/>
    <w:rsid w:val="00E2517C"/>
    <w:rsid w:val="00E25305"/>
    <w:rsid w:val="00E25EA1"/>
    <w:rsid w:val="00E2784D"/>
    <w:rsid w:val="00E27B54"/>
    <w:rsid w:val="00E27D03"/>
    <w:rsid w:val="00E30018"/>
    <w:rsid w:val="00E30C09"/>
    <w:rsid w:val="00E30C52"/>
    <w:rsid w:val="00E3168C"/>
    <w:rsid w:val="00E31A99"/>
    <w:rsid w:val="00E31F29"/>
    <w:rsid w:val="00E323AC"/>
    <w:rsid w:val="00E329A8"/>
    <w:rsid w:val="00E32A0B"/>
    <w:rsid w:val="00E32B6F"/>
    <w:rsid w:val="00E32C5A"/>
    <w:rsid w:val="00E32DF3"/>
    <w:rsid w:val="00E32E4D"/>
    <w:rsid w:val="00E33266"/>
    <w:rsid w:val="00E3383F"/>
    <w:rsid w:val="00E33924"/>
    <w:rsid w:val="00E33BF4"/>
    <w:rsid w:val="00E34392"/>
    <w:rsid w:val="00E344E4"/>
    <w:rsid w:val="00E3492B"/>
    <w:rsid w:val="00E34A66"/>
    <w:rsid w:val="00E35517"/>
    <w:rsid w:val="00E361EA"/>
    <w:rsid w:val="00E3707E"/>
    <w:rsid w:val="00E37BAE"/>
    <w:rsid w:val="00E37E39"/>
    <w:rsid w:val="00E37F7A"/>
    <w:rsid w:val="00E4129F"/>
    <w:rsid w:val="00E4194A"/>
    <w:rsid w:val="00E41972"/>
    <w:rsid w:val="00E41B63"/>
    <w:rsid w:val="00E41E39"/>
    <w:rsid w:val="00E41FAC"/>
    <w:rsid w:val="00E4220B"/>
    <w:rsid w:val="00E42789"/>
    <w:rsid w:val="00E429E3"/>
    <w:rsid w:val="00E42A32"/>
    <w:rsid w:val="00E42DBD"/>
    <w:rsid w:val="00E4347E"/>
    <w:rsid w:val="00E4358B"/>
    <w:rsid w:val="00E43B49"/>
    <w:rsid w:val="00E4412D"/>
    <w:rsid w:val="00E44A0F"/>
    <w:rsid w:val="00E44B1F"/>
    <w:rsid w:val="00E44C60"/>
    <w:rsid w:val="00E45298"/>
    <w:rsid w:val="00E455E5"/>
    <w:rsid w:val="00E45876"/>
    <w:rsid w:val="00E45B45"/>
    <w:rsid w:val="00E465C0"/>
    <w:rsid w:val="00E46B2C"/>
    <w:rsid w:val="00E46D8C"/>
    <w:rsid w:val="00E47001"/>
    <w:rsid w:val="00E47520"/>
    <w:rsid w:val="00E51862"/>
    <w:rsid w:val="00E52000"/>
    <w:rsid w:val="00E53458"/>
    <w:rsid w:val="00E53BAD"/>
    <w:rsid w:val="00E53F5D"/>
    <w:rsid w:val="00E54174"/>
    <w:rsid w:val="00E54578"/>
    <w:rsid w:val="00E54F76"/>
    <w:rsid w:val="00E5556D"/>
    <w:rsid w:val="00E56515"/>
    <w:rsid w:val="00E565D4"/>
    <w:rsid w:val="00E567BA"/>
    <w:rsid w:val="00E56D61"/>
    <w:rsid w:val="00E56FDF"/>
    <w:rsid w:val="00E578A5"/>
    <w:rsid w:val="00E579FF"/>
    <w:rsid w:val="00E57A4A"/>
    <w:rsid w:val="00E57B33"/>
    <w:rsid w:val="00E57CFE"/>
    <w:rsid w:val="00E6080D"/>
    <w:rsid w:val="00E60F54"/>
    <w:rsid w:val="00E6134E"/>
    <w:rsid w:val="00E61A42"/>
    <w:rsid w:val="00E61E9C"/>
    <w:rsid w:val="00E6221B"/>
    <w:rsid w:val="00E62994"/>
    <w:rsid w:val="00E639F0"/>
    <w:rsid w:val="00E64503"/>
    <w:rsid w:val="00E646EB"/>
    <w:rsid w:val="00E64715"/>
    <w:rsid w:val="00E64DD2"/>
    <w:rsid w:val="00E64F2C"/>
    <w:rsid w:val="00E66BEB"/>
    <w:rsid w:val="00E66D17"/>
    <w:rsid w:val="00E677C1"/>
    <w:rsid w:val="00E67F9B"/>
    <w:rsid w:val="00E705CE"/>
    <w:rsid w:val="00E7069B"/>
    <w:rsid w:val="00E70FBE"/>
    <w:rsid w:val="00E71195"/>
    <w:rsid w:val="00E71526"/>
    <w:rsid w:val="00E71902"/>
    <w:rsid w:val="00E71C92"/>
    <w:rsid w:val="00E72968"/>
    <w:rsid w:val="00E72BFC"/>
    <w:rsid w:val="00E72C60"/>
    <w:rsid w:val="00E73113"/>
    <w:rsid w:val="00E73923"/>
    <w:rsid w:val="00E73BC7"/>
    <w:rsid w:val="00E73D14"/>
    <w:rsid w:val="00E73D8A"/>
    <w:rsid w:val="00E73E0D"/>
    <w:rsid w:val="00E73E2C"/>
    <w:rsid w:val="00E74023"/>
    <w:rsid w:val="00E7451E"/>
    <w:rsid w:val="00E746C2"/>
    <w:rsid w:val="00E7488E"/>
    <w:rsid w:val="00E74E66"/>
    <w:rsid w:val="00E75BC0"/>
    <w:rsid w:val="00E75FB6"/>
    <w:rsid w:val="00E760AC"/>
    <w:rsid w:val="00E76446"/>
    <w:rsid w:val="00E7645C"/>
    <w:rsid w:val="00E765CF"/>
    <w:rsid w:val="00E7719D"/>
    <w:rsid w:val="00E77323"/>
    <w:rsid w:val="00E773A9"/>
    <w:rsid w:val="00E77AA8"/>
    <w:rsid w:val="00E803D4"/>
    <w:rsid w:val="00E80531"/>
    <w:rsid w:val="00E808BD"/>
    <w:rsid w:val="00E809C6"/>
    <w:rsid w:val="00E809FE"/>
    <w:rsid w:val="00E80E9A"/>
    <w:rsid w:val="00E80F09"/>
    <w:rsid w:val="00E818E3"/>
    <w:rsid w:val="00E81B2A"/>
    <w:rsid w:val="00E8280F"/>
    <w:rsid w:val="00E829EE"/>
    <w:rsid w:val="00E82D3C"/>
    <w:rsid w:val="00E82FEE"/>
    <w:rsid w:val="00E83040"/>
    <w:rsid w:val="00E831AB"/>
    <w:rsid w:val="00E8330D"/>
    <w:rsid w:val="00E8361D"/>
    <w:rsid w:val="00E83721"/>
    <w:rsid w:val="00E839E5"/>
    <w:rsid w:val="00E83F40"/>
    <w:rsid w:val="00E84857"/>
    <w:rsid w:val="00E84953"/>
    <w:rsid w:val="00E8497D"/>
    <w:rsid w:val="00E84EEB"/>
    <w:rsid w:val="00E8566F"/>
    <w:rsid w:val="00E85FA9"/>
    <w:rsid w:val="00E866B9"/>
    <w:rsid w:val="00E86755"/>
    <w:rsid w:val="00E86C87"/>
    <w:rsid w:val="00E871DF"/>
    <w:rsid w:val="00E87FD2"/>
    <w:rsid w:val="00E90C8B"/>
    <w:rsid w:val="00E913CB"/>
    <w:rsid w:val="00E915A7"/>
    <w:rsid w:val="00E91B9A"/>
    <w:rsid w:val="00E92816"/>
    <w:rsid w:val="00E9288B"/>
    <w:rsid w:val="00E93220"/>
    <w:rsid w:val="00E932C2"/>
    <w:rsid w:val="00E933CD"/>
    <w:rsid w:val="00E934F8"/>
    <w:rsid w:val="00E93509"/>
    <w:rsid w:val="00E936D8"/>
    <w:rsid w:val="00E936E2"/>
    <w:rsid w:val="00E93C2A"/>
    <w:rsid w:val="00E94801"/>
    <w:rsid w:val="00E94A1B"/>
    <w:rsid w:val="00E94F8F"/>
    <w:rsid w:val="00E9508B"/>
    <w:rsid w:val="00E95232"/>
    <w:rsid w:val="00E95D98"/>
    <w:rsid w:val="00E95E33"/>
    <w:rsid w:val="00E96474"/>
    <w:rsid w:val="00E96A41"/>
    <w:rsid w:val="00E97783"/>
    <w:rsid w:val="00EA015F"/>
    <w:rsid w:val="00EA05D2"/>
    <w:rsid w:val="00EA07CD"/>
    <w:rsid w:val="00EA0BAF"/>
    <w:rsid w:val="00EA1834"/>
    <w:rsid w:val="00EA18E7"/>
    <w:rsid w:val="00EA1C5B"/>
    <w:rsid w:val="00EA2026"/>
    <w:rsid w:val="00EA208F"/>
    <w:rsid w:val="00EA2511"/>
    <w:rsid w:val="00EA25CF"/>
    <w:rsid w:val="00EA25D7"/>
    <w:rsid w:val="00EA2A03"/>
    <w:rsid w:val="00EA309A"/>
    <w:rsid w:val="00EA3345"/>
    <w:rsid w:val="00EA3D7B"/>
    <w:rsid w:val="00EA432F"/>
    <w:rsid w:val="00EA4563"/>
    <w:rsid w:val="00EA4870"/>
    <w:rsid w:val="00EA4D14"/>
    <w:rsid w:val="00EA5054"/>
    <w:rsid w:val="00EA5172"/>
    <w:rsid w:val="00EA5758"/>
    <w:rsid w:val="00EA58FE"/>
    <w:rsid w:val="00EA5BFB"/>
    <w:rsid w:val="00EA5FED"/>
    <w:rsid w:val="00EA61DC"/>
    <w:rsid w:val="00EA656D"/>
    <w:rsid w:val="00EA68F2"/>
    <w:rsid w:val="00EA6B7D"/>
    <w:rsid w:val="00EA72FA"/>
    <w:rsid w:val="00EA771E"/>
    <w:rsid w:val="00EA78DF"/>
    <w:rsid w:val="00EB0228"/>
    <w:rsid w:val="00EB06AC"/>
    <w:rsid w:val="00EB0CEC"/>
    <w:rsid w:val="00EB0F7C"/>
    <w:rsid w:val="00EB1674"/>
    <w:rsid w:val="00EB1F13"/>
    <w:rsid w:val="00EB221B"/>
    <w:rsid w:val="00EB2451"/>
    <w:rsid w:val="00EB272E"/>
    <w:rsid w:val="00EB2ECE"/>
    <w:rsid w:val="00EB2F3F"/>
    <w:rsid w:val="00EB3839"/>
    <w:rsid w:val="00EB3953"/>
    <w:rsid w:val="00EB3B7D"/>
    <w:rsid w:val="00EB3CE2"/>
    <w:rsid w:val="00EB3EA2"/>
    <w:rsid w:val="00EB3F89"/>
    <w:rsid w:val="00EB410E"/>
    <w:rsid w:val="00EB4610"/>
    <w:rsid w:val="00EB4AB2"/>
    <w:rsid w:val="00EB4EFA"/>
    <w:rsid w:val="00EB56CD"/>
    <w:rsid w:val="00EB6CBF"/>
    <w:rsid w:val="00EB6E23"/>
    <w:rsid w:val="00EB6E33"/>
    <w:rsid w:val="00EB76DC"/>
    <w:rsid w:val="00EB778E"/>
    <w:rsid w:val="00EB7D1D"/>
    <w:rsid w:val="00EB7DCC"/>
    <w:rsid w:val="00EC03ED"/>
    <w:rsid w:val="00EC04FF"/>
    <w:rsid w:val="00EC0782"/>
    <w:rsid w:val="00EC0937"/>
    <w:rsid w:val="00EC093A"/>
    <w:rsid w:val="00EC0982"/>
    <w:rsid w:val="00EC0F7E"/>
    <w:rsid w:val="00EC1D29"/>
    <w:rsid w:val="00EC25E1"/>
    <w:rsid w:val="00EC2642"/>
    <w:rsid w:val="00EC27CC"/>
    <w:rsid w:val="00EC2908"/>
    <w:rsid w:val="00EC2A17"/>
    <w:rsid w:val="00EC2E20"/>
    <w:rsid w:val="00EC32F7"/>
    <w:rsid w:val="00EC3719"/>
    <w:rsid w:val="00EC37DC"/>
    <w:rsid w:val="00EC380D"/>
    <w:rsid w:val="00EC3B44"/>
    <w:rsid w:val="00EC405F"/>
    <w:rsid w:val="00EC4182"/>
    <w:rsid w:val="00EC4416"/>
    <w:rsid w:val="00EC456C"/>
    <w:rsid w:val="00EC45BF"/>
    <w:rsid w:val="00EC4735"/>
    <w:rsid w:val="00EC4878"/>
    <w:rsid w:val="00EC6258"/>
    <w:rsid w:val="00EC6BCF"/>
    <w:rsid w:val="00EC7017"/>
    <w:rsid w:val="00EC7578"/>
    <w:rsid w:val="00EC7A06"/>
    <w:rsid w:val="00EC7C4F"/>
    <w:rsid w:val="00ED0234"/>
    <w:rsid w:val="00ED05B7"/>
    <w:rsid w:val="00ED0EFD"/>
    <w:rsid w:val="00ED0F05"/>
    <w:rsid w:val="00ED130C"/>
    <w:rsid w:val="00ED17EF"/>
    <w:rsid w:val="00ED1FB5"/>
    <w:rsid w:val="00ED360D"/>
    <w:rsid w:val="00ED370A"/>
    <w:rsid w:val="00ED5F19"/>
    <w:rsid w:val="00ED6287"/>
    <w:rsid w:val="00ED7851"/>
    <w:rsid w:val="00EE03E7"/>
    <w:rsid w:val="00EE04F8"/>
    <w:rsid w:val="00EE0733"/>
    <w:rsid w:val="00EE088C"/>
    <w:rsid w:val="00EE08EB"/>
    <w:rsid w:val="00EE0912"/>
    <w:rsid w:val="00EE0941"/>
    <w:rsid w:val="00EE0E2A"/>
    <w:rsid w:val="00EE0E30"/>
    <w:rsid w:val="00EE1844"/>
    <w:rsid w:val="00EE1B87"/>
    <w:rsid w:val="00EE1CD9"/>
    <w:rsid w:val="00EE2511"/>
    <w:rsid w:val="00EE27E6"/>
    <w:rsid w:val="00EE2B37"/>
    <w:rsid w:val="00EE2C04"/>
    <w:rsid w:val="00EE2F7B"/>
    <w:rsid w:val="00EE3892"/>
    <w:rsid w:val="00EE3959"/>
    <w:rsid w:val="00EE45C1"/>
    <w:rsid w:val="00EE475A"/>
    <w:rsid w:val="00EE4CCB"/>
    <w:rsid w:val="00EE5A07"/>
    <w:rsid w:val="00EE5B36"/>
    <w:rsid w:val="00EE5C97"/>
    <w:rsid w:val="00EE76B7"/>
    <w:rsid w:val="00EE7724"/>
    <w:rsid w:val="00EE7928"/>
    <w:rsid w:val="00EE7956"/>
    <w:rsid w:val="00EF004A"/>
    <w:rsid w:val="00EF02EE"/>
    <w:rsid w:val="00EF0B79"/>
    <w:rsid w:val="00EF0BC5"/>
    <w:rsid w:val="00EF1638"/>
    <w:rsid w:val="00EF17E5"/>
    <w:rsid w:val="00EF1839"/>
    <w:rsid w:val="00EF1BD1"/>
    <w:rsid w:val="00EF1F30"/>
    <w:rsid w:val="00EF29C9"/>
    <w:rsid w:val="00EF3665"/>
    <w:rsid w:val="00EF3AF5"/>
    <w:rsid w:val="00EF3E4D"/>
    <w:rsid w:val="00EF3E8F"/>
    <w:rsid w:val="00EF4395"/>
    <w:rsid w:val="00EF4406"/>
    <w:rsid w:val="00EF44DB"/>
    <w:rsid w:val="00EF4D95"/>
    <w:rsid w:val="00EF5052"/>
    <w:rsid w:val="00EF531F"/>
    <w:rsid w:val="00EF5355"/>
    <w:rsid w:val="00EF58EC"/>
    <w:rsid w:val="00EF5AFB"/>
    <w:rsid w:val="00EF5C2E"/>
    <w:rsid w:val="00EF5C58"/>
    <w:rsid w:val="00EF6068"/>
    <w:rsid w:val="00EF61B9"/>
    <w:rsid w:val="00EF65C2"/>
    <w:rsid w:val="00EF6787"/>
    <w:rsid w:val="00EF69FD"/>
    <w:rsid w:val="00EF6A58"/>
    <w:rsid w:val="00EF6FEB"/>
    <w:rsid w:val="00EF703C"/>
    <w:rsid w:val="00EF7685"/>
    <w:rsid w:val="00F00185"/>
    <w:rsid w:val="00F0029F"/>
    <w:rsid w:val="00F0080F"/>
    <w:rsid w:val="00F01610"/>
    <w:rsid w:val="00F01CAC"/>
    <w:rsid w:val="00F01F71"/>
    <w:rsid w:val="00F02AD8"/>
    <w:rsid w:val="00F036CC"/>
    <w:rsid w:val="00F037F1"/>
    <w:rsid w:val="00F03AC1"/>
    <w:rsid w:val="00F042A3"/>
    <w:rsid w:val="00F045A1"/>
    <w:rsid w:val="00F0473C"/>
    <w:rsid w:val="00F04F1F"/>
    <w:rsid w:val="00F057BA"/>
    <w:rsid w:val="00F05A57"/>
    <w:rsid w:val="00F067EF"/>
    <w:rsid w:val="00F06AFC"/>
    <w:rsid w:val="00F06DC8"/>
    <w:rsid w:val="00F07031"/>
    <w:rsid w:val="00F07079"/>
    <w:rsid w:val="00F070A0"/>
    <w:rsid w:val="00F076EF"/>
    <w:rsid w:val="00F107A4"/>
    <w:rsid w:val="00F10995"/>
    <w:rsid w:val="00F109E2"/>
    <w:rsid w:val="00F11447"/>
    <w:rsid w:val="00F116E7"/>
    <w:rsid w:val="00F11EBD"/>
    <w:rsid w:val="00F1213F"/>
    <w:rsid w:val="00F122E8"/>
    <w:rsid w:val="00F12454"/>
    <w:rsid w:val="00F131A9"/>
    <w:rsid w:val="00F13AE3"/>
    <w:rsid w:val="00F13E4D"/>
    <w:rsid w:val="00F143D8"/>
    <w:rsid w:val="00F15206"/>
    <w:rsid w:val="00F153DC"/>
    <w:rsid w:val="00F15507"/>
    <w:rsid w:val="00F15DAF"/>
    <w:rsid w:val="00F15F8B"/>
    <w:rsid w:val="00F16BB3"/>
    <w:rsid w:val="00F16C2D"/>
    <w:rsid w:val="00F16E4A"/>
    <w:rsid w:val="00F16F8D"/>
    <w:rsid w:val="00F16FA1"/>
    <w:rsid w:val="00F1704A"/>
    <w:rsid w:val="00F174B1"/>
    <w:rsid w:val="00F1771C"/>
    <w:rsid w:val="00F178BF"/>
    <w:rsid w:val="00F17A3C"/>
    <w:rsid w:val="00F203EA"/>
    <w:rsid w:val="00F20660"/>
    <w:rsid w:val="00F207F0"/>
    <w:rsid w:val="00F20993"/>
    <w:rsid w:val="00F20A20"/>
    <w:rsid w:val="00F20BC2"/>
    <w:rsid w:val="00F21358"/>
    <w:rsid w:val="00F21D8B"/>
    <w:rsid w:val="00F21E94"/>
    <w:rsid w:val="00F22577"/>
    <w:rsid w:val="00F22C0D"/>
    <w:rsid w:val="00F23145"/>
    <w:rsid w:val="00F2383C"/>
    <w:rsid w:val="00F241C1"/>
    <w:rsid w:val="00F243F8"/>
    <w:rsid w:val="00F24688"/>
    <w:rsid w:val="00F24CA5"/>
    <w:rsid w:val="00F25259"/>
    <w:rsid w:val="00F257D3"/>
    <w:rsid w:val="00F25A86"/>
    <w:rsid w:val="00F25C0D"/>
    <w:rsid w:val="00F26041"/>
    <w:rsid w:val="00F26133"/>
    <w:rsid w:val="00F2653D"/>
    <w:rsid w:val="00F267C6"/>
    <w:rsid w:val="00F269B1"/>
    <w:rsid w:val="00F272B1"/>
    <w:rsid w:val="00F303D8"/>
    <w:rsid w:val="00F30F56"/>
    <w:rsid w:val="00F30F73"/>
    <w:rsid w:val="00F3158A"/>
    <w:rsid w:val="00F3179D"/>
    <w:rsid w:val="00F319BF"/>
    <w:rsid w:val="00F31AEF"/>
    <w:rsid w:val="00F31CBB"/>
    <w:rsid w:val="00F3296A"/>
    <w:rsid w:val="00F33674"/>
    <w:rsid w:val="00F33705"/>
    <w:rsid w:val="00F33898"/>
    <w:rsid w:val="00F34654"/>
    <w:rsid w:val="00F34E2A"/>
    <w:rsid w:val="00F35010"/>
    <w:rsid w:val="00F35766"/>
    <w:rsid w:val="00F35A97"/>
    <w:rsid w:val="00F362F2"/>
    <w:rsid w:val="00F365DA"/>
    <w:rsid w:val="00F3667E"/>
    <w:rsid w:val="00F368AE"/>
    <w:rsid w:val="00F36A9A"/>
    <w:rsid w:val="00F36C8C"/>
    <w:rsid w:val="00F4012A"/>
    <w:rsid w:val="00F402C0"/>
    <w:rsid w:val="00F40513"/>
    <w:rsid w:val="00F40B48"/>
    <w:rsid w:val="00F411F1"/>
    <w:rsid w:val="00F413FA"/>
    <w:rsid w:val="00F415A5"/>
    <w:rsid w:val="00F415B4"/>
    <w:rsid w:val="00F41B32"/>
    <w:rsid w:val="00F41F42"/>
    <w:rsid w:val="00F41FE5"/>
    <w:rsid w:val="00F42445"/>
    <w:rsid w:val="00F42C03"/>
    <w:rsid w:val="00F42CC5"/>
    <w:rsid w:val="00F434C4"/>
    <w:rsid w:val="00F438CF"/>
    <w:rsid w:val="00F43DEE"/>
    <w:rsid w:val="00F447B9"/>
    <w:rsid w:val="00F4541F"/>
    <w:rsid w:val="00F45914"/>
    <w:rsid w:val="00F45AC0"/>
    <w:rsid w:val="00F46142"/>
    <w:rsid w:val="00F47404"/>
    <w:rsid w:val="00F47407"/>
    <w:rsid w:val="00F47F20"/>
    <w:rsid w:val="00F500D9"/>
    <w:rsid w:val="00F501AC"/>
    <w:rsid w:val="00F50712"/>
    <w:rsid w:val="00F50BD4"/>
    <w:rsid w:val="00F51157"/>
    <w:rsid w:val="00F51863"/>
    <w:rsid w:val="00F52AC4"/>
    <w:rsid w:val="00F52C4D"/>
    <w:rsid w:val="00F52C93"/>
    <w:rsid w:val="00F52FFA"/>
    <w:rsid w:val="00F53A20"/>
    <w:rsid w:val="00F54889"/>
    <w:rsid w:val="00F54A73"/>
    <w:rsid w:val="00F54E38"/>
    <w:rsid w:val="00F55EFD"/>
    <w:rsid w:val="00F55FF2"/>
    <w:rsid w:val="00F5640E"/>
    <w:rsid w:val="00F56A0F"/>
    <w:rsid w:val="00F56A2F"/>
    <w:rsid w:val="00F56A7A"/>
    <w:rsid w:val="00F56BA8"/>
    <w:rsid w:val="00F5708A"/>
    <w:rsid w:val="00F57581"/>
    <w:rsid w:val="00F57732"/>
    <w:rsid w:val="00F57EAC"/>
    <w:rsid w:val="00F6024E"/>
    <w:rsid w:val="00F607D7"/>
    <w:rsid w:val="00F6096E"/>
    <w:rsid w:val="00F60C02"/>
    <w:rsid w:val="00F61921"/>
    <w:rsid w:val="00F61E32"/>
    <w:rsid w:val="00F61FF4"/>
    <w:rsid w:val="00F62721"/>
    <w:rsid w:val="00F62997"/>
    <w:rsid w:val="00F6303F"/>
    <w:rsid w:val="00F632CB"/>
    <w:rsid w:val="00F6333D"/>
    <w:rsid w:val="00F63416"/>
    <w:rsid w:val="00F64EC8"/>
    <w:rsid w:val="00F650D8"/>
    <w:rsid w:val="00F65166"/>
    <w:rsid w:val="00F655BB"/>
    <w:rsid w:val="00F65D86"/>
    <w:rsid w:val="00F65F49"/>
    <w:rsid w:val="00F665D6"/>
    <w:rsid w:val="00F66BA6"/>
    <w:rsid w:val="00F66BFA"/>
    <w:rsid w:val="00F66E0D"/>
    <w:rsid w:val="00F66F9B"/>
    <w:rsid w:val="00F67CE3"/>
    <w:rsid w:val="00F70052"/>
    <w:rsid w:val="00F7052F"/>
    <w:rsid w:val="00F70BBB"/>
    <w:rsid w:val="00F70BE9"/>
    <w:rsid w:val="00F70E9E"/>
    <w:rsid w:val="00F70F0B"/>
    <w:rsid w:val="00F73261"/>
    <w:rsid w:val="00F73495"/>
    <w:rsid w:val="00F73FB4"/>
    <w:rsid w:val="00F7414B"/>
    <w:rsid w:val="00F741E0"/>
    <w:rsid w:val="00F742F3"/>
    <w:rsid w:val="00F743BF"/>
    <w:rsid w:val="00F74600"/>
    <w:rsid w:val="00F74780"/>
    <w:rsid w:val="00F751F5"/>
    <w:rsid w:val="00F75376"/>
    <w:rsid w:val="00F75AEC"/>
    <w:rsid w:val="00F75C83"/>
    <w:rsid w:val="00F75D02"/>
    <w:rsid w:val="00F75E1F"/>
    <w:rsid w:val="00F75F02"/>
    <w:rsid w:val="00F7713B"/>
    <w:rsid w:val="00F77583"/>
    <w:rsid w:val="00F779EA"/>
    <w:rsid w:val="00F812D7"/>
    <w:rsid w:val="00F81980"/>
    <w:rsid w:val="00F81AAF"/>
    <w:rsid w:val="00F82069"/>
    <w:rsid w:val="00F8235A"/>
    <w:rsid w:val="00F82380"/>
    <w:rsid w:val="00F8240A"/>
    <w:rsid w:val="00F8241E"/>
    <w:rsid w:val="00F82FFC"/>
    <w:rsid w:val="00F8333A"/>
    <w:rsid w:val="00F834C8"/>
    <w:rsid w:val="00F83E2D"/>
    <w:rsid w:val="00F84072"/>
    <w:rsid w:val="00F8448C"/>
    <w:rsid w:val="00F8459F"/>
    <w:rsid w:val="00F84695"/>
    <w:rsid w:val="00F849B0"/>
    <w:rsid w:val="00F84C96"/>
    <w:rsid w:val="00F85D97"/>
    <w:rsid w:val="00F868B1"/>
    <w:rsid w:val="00F86977"/>
    <w:rsid w:val="00F86B5E"/>
    <w:rsid w:val="00F87CF5"/>
    <w:rsid w:val="00F87FB2"/>
    <w:rsid w:val="00F900C3"/>
    <w:rsid w:val="00F900D7"/>
    <w:rsid w:val="00F90D26"/>
    <w:rsid w:val="00F90F33"/>
    <w:rsid w:val="00F91676"/>
    <w:rsid w:val="00F918D3"/>
    <w:rsid w:val="00F91DF9"/>
    <w:rsid w:val="00F923BB"/>
    <w:rsid w:val="00F93135"/>
    <w:rsid w:val="00F9338B"/>
    <w:rsid w:val="00F937A2"/>
    <w:rsid w:val="00F93D1E"/>
    <w:rsid w:val="00F93F4D"/>
    <w:rsid w:val="00F943B3"/>
    <w:rsid w:val="00F945C1"/>
    <w:rsid w:val="00F94F1A"/>
    <w:rsid w:val="00F957CD"/>
    <w:rsid w:val="00F95D3B"/>
    <w:rsid w:val="00F95ED7"/>
    <w:rsid w:val="00F96D1E"/>
    <w:rsid w:val="00F97761"/>
    <w:rsid w:val="00FA0362"/>
    <w:rsid w:val="00FA048C"/>
    <w:rsid w:val="00FA082E"/>
    <w:rsid w:val="00FA0CFA"/>
    <w:rsid w:val="00FA103F"/>
    <w:rsid w:val="00FA11AB"/>
    <w:rsid w:val="00FA145B"/>
    <w:rsid w:val="00FA154E"/>
    <w:rsid w:val="00FA1C7A"/>
    <w:rsid w:val="00FA2881"/>
    <w:rsid w:val="00FA2D2D"/>
    <w:rsid w:val="00FA2EF3"/>
    <w:rsid w:val="00FA35A4"/>
    <w:rsid w:val="00FA3AA8"/>
    <w:rsid w:val="00FA3FEA"/>
    <w:rsid w:val="00FA4070"/>
    <w:rsid w:val="00FA4197"/>
    <w:rsid w:val="00FA535D"/>
    <w:rsid w:val="00FA58E0"/>
    <w:rsid w:val="00FA596B"/>
    <w:rsid w:val="00FA5AF3"/>
    <w:rsid w:val="00FA69D6"/>
    <w:rsid w:val="00FA6F25"/>
    <w:rsid w:val="00FA71B9"/>
    <w:rsid w:val="00FA76AB"/>
    <w:rsid w:val="00FB0292"/>
    <w:rsid w:val="00FB05DD"/>
    <w:rsid w:val="00FB08CC"/>
    <w:rsid w:val="00FB0CA7"/>
    <w:rsid w:val="00FB0D19"/>
    <w:rsid w:val="00FB0DCC"/>
    <w:rsid w:val="00FB12F8"/>
    <w:rsid w:val="00FB151C"/>
    <w:rsid w:val="00FB26CF"/>
    <w:rsid w:val="00FB2B32"/>
    <w:rsid w:val="00FB37AE"/>
    <w:rsid w:val="00FB37CE"/>
    <w:rsid w:val="00FB3EAE"/>
    <w:rsid w:val="00FB4699"/>
    <w:rsid w:val="00FB4FDE"/>
    <w:rsid w:val="00FB57C9"/>
    <w:rsid w:val="00FB60B4"/>
    <w:rsid w:val="00FB6513"/>
    <w:rsid w:val="00FB668E"/>
    <w:rsid w:val="00FB6A28"/>
    <w:rsid w:val="00FB6CA7"/>
    <w:rsid w:val="00FB6DF5"/>
    <w:rsid w:val="00FB6FBA"/>
    <w:rsid w:val="00FB712A"/>
    <w:rsid w:val="00FB727B"/>
    <w:rsid w:val="00FB754E"/>
    <w:rsid w:val="00FB7D36"/>
    <w:rsid w:val="00FC0AD9"/>
    <w:rsid w:val="00FC0FEB"/>
    <w:rsid w:val="00FC125A"/>
    <w:rsid w:val="00FC1428"/>
    <w:rsid w:val="00FC15CF"/>
    <w:rsid w:val="00FC1C41"/>
    <w:rsid w:val="00FC1E7F"/>
    <w:rsid w:val="00FC20E1"/>
    <w:rsid w:val="00FC26C8"/>
    <w:rsid w:val="00FC2724"/>
    <w:rsid w:val="00FC3001"/>
    <w:rsid w:val="00FC3435"/>
    <w:rsid w:val="00FC3BCA"/>
    <w:rsid w:val="00FC3C94"/>
    <w:rsid w:val="00FC4067"/>
    <w:rsid w:val="00FC40F2"/>
    <w:rsid w:val="00FC4125"/>
    <w:rsid w:val="00FC4304"/>
    <w:rsid w:val="00FC4788"/>
    <w:rsid w:val="00FC53E6"/>
    <w:rsid w:val="00FC571C"/>
    <w:rsid w:val="00FC5AA4"/>
    <w:rsid w:val="00FC5FB2"/>
    <w:rsid w:val="00FC5FB8"/>
    <w:rsid w:val="00FC6A7C"/>
    <w:rsid w:val="00FC6C78"/>
    <w:rsid w:val="00FC6F5E"/>
    <w:rsid w:val="00FC70A7"/>
    <w:rsid w:val="00FC74E0"/>
    <w:rsid w:val="00FC75E3"/>
    <w:rsid w:val="00FC7A30"/>
    <w:rsid w:val="00FD0023"/>
    <w:rsid w:val="00FD033B"/>
    <w:rsid w:val="00FD056A"/>
    <w:rsid w:val="00FD0819"/>
    <w:rsid w:val="00FD0A59"/>
    <w:rsid w:val="00FD0E11"/>
    <w:rsid w:val="00FD10E5"/>
    <w:rsid w:val="00FD1F05"/>
    <w:rsid w:val="00FD2C16"/>
    <w:rsid w:val="00FD34DB"/>
    <w:rsid w:val="00FD3E63"/>
    <w:rsid w:val="00FD427E"/>
    <w:rsid w:val="00FD4E01"/>
    <w:rsid w:val="00FD5140"/>
    <w:rsid w:val="00FD5EF6"/>
    <w:rsid w:val="00FD5FA1"/>
    <w:rsid w:val="00FD6334"/>
    <w:rsid w:val="00FD66A3"/>
    <w:rsid w:val="00FD70A8"/>
    <w:rsid w:val="00FD751A"/>
    <w:rsid w:val="00FD7A90"/>
    <w:rsid w:val="00FE0B75"/>
    <w:rsid w:val="00FE14EE"/>
    <w:rsid w:val="00FE1990"/>
    <w:rsid w:val="00FE1F94"/>
    <w:rsid w:val="00FE20C0"/>
    <w:rsid w:val="00FE2104"/>
    <w:rsid w:val="00FE213F"/>
    <w:rsid w:val="00FE27D3"/>
    <w:rsid w:val="00FE290E"/>
    <w:rsid w:val="00FE2CD9"/>
    <w:rsid w:val="00FE2F3D"/>
    <w:rsid w:val="00FE3150"/>
    <w:rsid w:val="00FE3459"/>
    <w:rsid w:val="00FE34FB"/>
    <w:rsid w:val="00FE37CB"/>
    <w:rsid w:val="00FE384E"/>
    <w:rsid w:val="00FE4211"/>
    <w:rsid w:val="00FE42DF"/>
    <w:rsid w:val="00FE4397"/>
    <w:rsid w:val="00FE46D3"/>
    <w:rsid w:val="00FE47F2"/>
    <w:rsid w:val="00FE4AA2"/>
    <w:rsid w:val="00FE4BD7"/>
    <w:rsid w:val="00FE517C"/>
    <w:rsid w:val="00FE5213"/>
    <w:rsid w:val="00FE537F"/>
    <w:rsid w:val="00FE6180"/>
    <w:rsid w:val="00FE6471"/>
    <w:rsid w:val="00FE6550"/>
    <w:rsid w:val="00FE6AB2"/>
    <w:rsid w:val="00FE7533"/>
    <w:rsid w:val="00FE7E7A"/>
    <w:rsid w:val="00FE7F11"/>
    <w:rsid w:val="00FF0CAE"/>
    <w:rsid w:val="00FF18AC"/>
    <w:rsid w:val="00FF1F4D"/>
    <w:rsid w:val="00FF2028"/>
    <w:rsid w:val="00FF2174"/>
    <w:rsid w:val="00FF2470"/>
    <w:rsid w:val="00FF2A9D"/>
    <w:rsid w:val="00FF2D60"/>
    <w:rsid w:val="00FF379D"/>
    <w:rsid w:val="00FF3B7C"/>
    <w:rsid w:val="00FF3DE7"/>
    <w:rsid w:val="00FF44EF"/>
    <w:rsid w:val="00FF4603"/>
    <w:rsid w:val="00FF49D6"/>
    <w:rsid w:val="00FF542C"/>
    <w:rsid w:val="00FF553C"/>
    <w:rsid w:val="00FF5780"/>
    <w:rsid w:val="00FF5B05"/>
    <w:rsid w:val="00FF6015"/>
    <w:rsid w:val="00FF6AA9"/>
    <w:rsid w:val="00FF6BA6"/>
    <w:rsid w:val="00FF70B8"/>
    <w:rsid w:val="00FF74B6"/>
    <w:rsid w:val="00FF76AF"/>
    <w:rsid w:val="00FF7804"/>
    <w:rsid w:val="01CF96F3"/>
    <w:rsid w:val="02CF5432"/>
    <w:rsid w:val="04D0E14F"/>
    <w:rsid w:val="0531946E"/>
    <w:rsid w:val="068ED886"/>
    <w:rsid w:val="06C8BE1A"/>
    <w:rsid w:val="06CA2776"/>
    <w:rsid w:val="07752A3C"/>
    <w:rsid w:val="0818B836"/>
    <w:rsid w:val="085C824D"/>
    <w:rsid w:val="09CC734A"/>
    <w:rsid w:val="0A739DEB"/>
    <w:rsid w:val="0B847BCF"/>
    <w:rsid w:val="0B860F66"/>
    <w:rsid w:val="0CF27971"/>
    <w:rsid w:val="108E36A8"/>
    <w:rsid w:val="10F0E000"/>
    <w:rsid w:val="12353FD4"/>
    <w:rsid w:val="12B7B4AA"/>
    <w:rsid w:val="173C75F6"/>
    <w:rsid w:val="18D5C40C"/>
    <w:rsid w:val="1A30F7B9"/>
    <w:rsid w:val="1A6D72C6"/>
    <w:rsid w:val="1A8E22EE"/>
    <w:rsid w:val="1AE1C276"/>
    <w:rsid w:val="1B30E72A"/>
    <w:rsid w:val="1BAFF9A0"/>
    <w:rsid w:val="1D39F7B2"/>
    <w:rsid w:val="1DBE0097"/>
    <w:rsid w:val="1E577EEB"/>
    <w:rsid w:val="1EE63DB9"/>
    <w:rsid w:val="1F60E485"/>
    <w:rsid w:val="1F7667E5"/>
    <w:rsid w:val="1F9A3824"/>
    <w:rsid w:val="2196AA8E"/>
    <w:rsid w:val="22314461"/>
    <w:rsid w:val="22B8AD21"/>
    <w:rsid w:val="254438D3"/>
    <w:rsid w:val="25781C29"/>
    <w:rsid w:val="2675DA10"/>
    <w:rsid w:val="28297CA0"/>
    <w:rsid w:val="2A75F49D"/>
    <w:rsid w:val="2B520D9A"/>
    <w:rsid w:val="2C6773E2"/>
    <w:rsid w:val="2D2A5E07"/>
    <w:rsid w:val="2D58A39C"/>
    <w:rsid w:val="325B1EC4"/>
    <w:rsid w:val="328FB401"/>
    <w:rsid w:val="3422AA6D"/>
    <w:rsid w:val="34C9EA14"/>
    <w:rsid w:val="34CF88CB"/>
    <w:rsid w:val="36D36F4F"/>
    <w:rsid w:val="37CBA828"/>
    <w:rsid w:val="37F90B4C"/>
    <w:rsid w:val="3914C5E8"/>
    <w:rsid w:val="3A8FE3DC"/>
    <w:rsid w:val="3AE051EF"/>
    <w:rsid w:val="3AF853D9"/>
    <w:rsid w:val="3BB6D052"/>
    <w:rsid w:val="3D889D66"/>
    <w:rsid w:val="405E6D05"/>
    <w:rsid w:val="4077B1D3"/>
    <w:rsid w:val="40D81C2B"/>
    <w:rsid w:val="4166C297"/>
    <w:rsid w:val="42AB08E9"/>
    <w:rsid w:val="42B2E25F"/>
    <w:rsid w:val="42FF14B8"/>
    <w:rsid w:val="430F7433"/>
    <w:rsid w:val="432457E1"/>
    <w:rsid w:val="4405E085"/>
    <w:rsid w:val="446D654F"/>
    <w:rsid w:val="44CDA215"/>
    <w:rsid w:val="482A7074"/>
    <w:rsid w:val="4B69EEB0"/>
    <w:rsid w:val="4BB0862C"/>
    <w:rsid w:val="4BEE1E90"/>
    <w:rsid w:val="4C4EBCC0"/>
    <w:rsid w:val="4D587A8E"/>
    <w:rsid w:val="4D9D9240"/>
    <w:rsid w:val="4E21AC94"/>
    <w:rsid w:val="50573FCC"/>
    <w:rsid w:val="50A07ACB"/>
    <w:rsid w:val="5237EC78"/>
    <w:rsid w:val="52C013EE"/>
    <w:rsid w:val="54EADFC0"/>
    <w:rsid w:val="54FAC9A8"/>
    <w:rsid w:val="55D15D97"/>
    <w:rsid w:val="569D0F47"/>
    <w:rsid w:val="57FF2F9F"/>
    <w:rsid w:val="57FF535F"/>
    <w:rsid w:val="58E99185"/>
    <w:rsid w:val="5A5EC99E"/>
    <w:rsid w:val="5A74DFFD"/>
    <w:rsid w:val="5B3039A8"/>
    <w:rsid w:val="5BD5AAC6"/>
    <w:rsid w:val="5C4AB6B5"/>
    <w:rsid w:val="5C806692"/>
    <w:rsid w:val="5CF3432B"/>
    <w:rsid w:val="5E3A9904"/>
    <w:rsid w:val="5E78CB3E"/>
    <w:rsid w:val="60BEE2EA"/>
    <w:rsid w:val="61388DDA"/>
    <w:rsid w:val="61864CB0"/>
    <w:rsid w:val="6223C851"/>
    <w:rsid w:val="65AF47ED"/>
    <w:rsid w:val="66E1A165"/>
    <w:rsid w:val="67AFBBE9"/>
    <w:rsid w:val="690957E2"/>
    <w:rsid w:val="692B384F"/>
    <w:rsid w:val="6ADA71BD"/>
    <w:rsid w:val="6B560FA6"/>
    <w:rsid w:val="6C2BE76A"/>
    <w:rsid w:val="6F06404E"/>
    <w:rsid w:val="70213F88"/>
    <w:rsid w:val="72D9165F"/>
    <w:rsid w:val="7310E412"/>
    <w:rsid w:val="74C4DED9"/>
    <w:rsid w:val="75020DDA"/>
    <w:rsid w:val="755A5F1C"/>
    <w:rsid w:val="75C0116A"/>
    <w:rsid w:val="774F4D23"/>
    <w:rsid w:val="7767A91F"/>
    <w:rsid w:val="779EC76D"/>
    <w:rsid w:val="77A3F821"/>
    <w:rsid w:val="790CBC39"/>
    <w:rsid w:val="7910C5F3"/>
    <w:rsid w:val="7A4B0F90"/>
    <w:rsid w:val="7A79E869"/>
    <w:rsid w:val="7AD57704"/>
    <w:rsid w:val="7B80CC63"/>
    <w:rsid w:val="7BBD50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ABF269"/>
  <w15:chartTrackingRefBased/>
  <w15:docId w15:val="{67DA0F08-1E10-4B41-95B6-D3EBD250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lsdException w:name="heading 6" w:semiHidden="1" w:uiPriority="1" w:unhideWhenUsed="1"/>
    <w:lsdException w:name="heading 7" w:semiHidden="1" w:uiPriority="1" w:unhideWhenUsed="1" w:qFormat="1"/>
    <w:lsdException w:name="heading 8" w:semiHidden="1" w:uiPriority="1" w:unhideWhenUsed="1" w:qFormat="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0A4C"/>
    <w:pPr>
      <w:spacing w:line="240" w:lineRule="auto"/>
    </w:pPr>
    <w:rPr>
      <w:rFonts w:ascii="Arial" w:hAnsi="Arial"/>
    </w:rPr>
  </w:style>
  <w:style w:type="paragraph" w:styleId="Heading1">
    <w:name w:val="heading 1"/>
    <w:basedOn w:val="Normal"/>
    <w:next w:val="Normal"/>
    <w:link w:val="Heading1Char"/>
    <w:uiPriority w:val="9"/>
    <w:qFormat/>
    <w:rsid w:val="005D3ADE"/>
    <w:pPr>
      <w:keepNext/>
      <w:keepLines/>
      <w:spacing w:after="240"/>
      <w:outlineLvl w:val="0"/>
    </w:pPr>
    <w:rPr>
      <w:rFonts w:eastAsiaTheme="majorEastAsia" w:cstheme="majorBidi"/>
      <w:b/>
      <w:color w:val="000000" w:themeColor="text1"/>
      <w:spacing w:val="-10"/>
      <w:kern w:val="28"/>
      <w:sz w:val="56"/>
      <w:szCs w:val="32"/>
    </w:rPr>
  </w:style>
  <w:style w:type="paragraph" w:styleId="Heading2">
    <w:name w:val="heading 2"/>
    <w:basedOn w:val="Normal"/>
    <w:next w:val="Normal"/>
    <w:link w:val="Heading2Char"/>
    <w:uiPriority w:val="9"/>
    <w:unhideWhenUsed/>
    <w:qFormat/>
    <w:rsid w:val="0004270E"/>
    <w:pPr>
      <w:keepNext/>
      <w:keepLines/>
      <w:spacing w:before="240" w:after="240"/>
      <w:outlineLvl w:val="1"/>
    </w:pPr>
    <w:rPr>
      <w:rFonts w:eastAsiaTheme="majorEastAsia" w:cstheme="majorBidi"/>
      <w:b/>
      <w:smallCaps/>
      <w:color w:val="000000" w:themeColor="text1"/>
      <w:sz w:val="40"/>
      <w:szCs w:val="26"/>
    </w:rPr>
  </w:style>
  <w:style w:type="paragraph" w:styleId="Heading3">
    <w:name w:val="heading 3"/>
    <w:basedOn w:val="Normal"/>
    <w:next w:val="Normal"/>
    <w:link w:val="Heading3Char"/>
    <w:uiPriority w:val="9"/>
    <w:unhideWhenUsed/>
    <w:qFormat/>
    <w:rsid w:val="00792F33"/>
    <w:pPr>
      <w:keepNext/>
      <w:keepLines/>
      <w:spacing w:before="240" w:after="120"/>
      <w:outlineLvl w:val="2"/>
    </w:pPr>
    <w:rPr>
      <w:rFonts w:eastAsia="Times New Roman" w:cstheme="majorBidi"/>
      <w:color w:val="000000" w:themeColor="text1"/>
      <w:sz w:val="32"/>
      <w:szCs w:val="32"/>
      <w:lang w:val="en-US" w:eastAsia="en-AU"/>
    </w:rPr>
  </w:style>
  <w:style w:type="paragraph" w:styleId="Heading4">
    <w:name w:val="heading 4"/>
    <w:basedOn w:val="Normal"/>
    <w:next w:val="Normal"/>
    <w:link w:val="Heading4Char"/>
    <w:uiPriority w:val="9"/>
    <w:unhideWhenUsed/>
    <w:qFormat/>
    <w:rsid w:val="00741489"/>
    <w:pPr>
      <w:keepNext/>
      <w:keepLines/>
      <w:spacing w:before="40" w:after="0"/>
      <w:outlineLvl w:val="3"/>
    </w:pPr>
    <w:rPr>
      <w:rFonts w:asciiTheme="majorHAnsi" w:eastAsiaTheme="majorEastAsia" w:hAnsiTheme="majorHAnsi" w:cstheme="majorBidi"/>
      <w:i/>
      <w:iCs/>
      <w:color w:val="276E8B" w:themeColor="accent1" w:themeShade="BF"/>
    </w:rPr>
  </w:style>
  <w:style w:type="paragraph" w:styleId="Heading5">
    <w:name w:val="heading 5"/>
    <w:basedOn w:val="Normal"/>
    <w:next w:val="Normal"/>
    <w:link w:val="Heading5Char"/>
    <w:uiPriority w:val="1"/>
    <w:unhideWhenUsed/>
    <w:rsid w:val="005E0AF4"/>
    <w:pPr>
      <w:keepNext/>
      <w:keepLines/>
      <w:spacing w:before="40" w:after="0"/>
      <w:outlineLvl w:val="4"/>
    </w:pPr>
    <w:rPr>
      <w:rFonts w:asciiTheme="majorHAnsi" w:eastAsiaTheme="majorEastAsia" w:hAnsiTheme="majorHAnsi" w:cstheme="majorBidi"/>
      <w:b/>
      <w:color w:val="276E8B" w:themeColor="accent1" w:themeShade="BF"/>
    </w:rPr>
  </w:style>
  <w:style w:type="paragraph" w:styleId="Heading6">
    <w:name w:val="heading 6"/>
    <w:basedOn w:val="Normal"/>
    <w:link w:val="Heading6Char"/>
    <w:uiPriority w:val="1"/>
    <w:rsid w:val="009F29BA"/>
    <w:pPr>
      <w:widowControl w:val="0"/>
      <w:spacing w:before="228" w:after="0"/>
      <w:ind w:left="509"/>
      <w:outlineLvl w:val="5"/>
    </w:pPr>
    <w:rPr>
      <w:rFonts w:eastAsia="Arial"/>
      <w:sz w:val="30"/>
      <w:szCs w:val="30"/>
      <w:lang w:val="en-US"/>
    </w:rPr>
  </w:style>
  <w:style w:type="paragraph" w:styleId="Heading7">
    <w:name w:val="heading 7"/>
    <w:basedOn w:val="Normal"/>
    <w:link w:val="Heading7Char"/>
    <w:uiPriority w:val="1"/>
    <w:qFormat/>
    <w:rsid w:val="009F29BA"/>
    <w:pPr>
      <w:widowControl w:val="0"/>
      <w:spacing w:before="31" w:after="0"/>
      <w:ind w:left="387"/>
      <w:outlineLvl w:val="6"/>
    </w:pPr>
    <w:rPr>
      <w:rFonts w:eastAsia="Arial"/>
      <w:sz w:val="28"/>
      <w:szCs w:val="28"/>
      <w:lang w:val="en-US"/>
    </w:rPr>
  </w:style>
  <w:style w:type="paragraph" w:styleId="Heading8">
    <w:name w:val="heading 8"/>
    <w:basedOn w:val="Normal"/>
    <w:link w:val="Heading8Char"/>
    <w:uiPriority w:val="1"/>
    <w:qFormat/>
    <w:rsid w:val="009F29BA"/>
    <w:pPr>
      <w:widowControl w:val="0"/>
      <w:spacing w:before="69" w:after="0"/>
      <w:ind w:left="110"/>
      <w:outlineLvl w:val="7"/>
    </w:pPr>
    <w:rPr>
      <w:rFonts w:eastAsia="Arial"/>
      <w:sz w:val="24"/>
      <w:szCs w:val="24"/>
      <w:lang w:val="en-US"/>
    </w:rPr>
  </w:style>
  <w:style w:type="paragraph" w:styleId="Heading9">
    <w:name w:val="heading 9"/>
    <w:basedOn w:val="Normal"/>
    <w:next w:val="Normal"/>
    <w:link w:val="Heading9Char"/>
    <w:uiPriority w:val="1"/>
    <w:unhideWhenUsed/>
    <w:rsid w:val="007524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ADE"/>
    <w:rPr>
      <w:rFonts w:ascii="Arial" w:eastAsiaTheme="majorEastAsia" w:hAnsi="Arial" w:cstheme="majorBidi"/>
      <w:b/>
      <w:color w:val="000000" w:themeColor="text1"/>
      <w:spacing w:val="-10"/>
      <w:kern w:val="28"/>
      <w:sz w:val="56"/>
      <w:szCs w:val="32"/>
    </w:rPr>
  </w:style>
  <w:style w:type="character" w:customStyle="1" w:styleId="Heading2Char">
    <w:name w:val="Heading 2 Char"/>
    <w:basedOn w:val="DefaultParagraphFont"/>
    <w:link w:val="Heading2"/>
    <w:uiPriority w:val="9"/>
    <w:rsid w:val="0004270E"/>
    <w:rPr>
      <w:rFonts w:ascii="Arial" w:eastAsiaTheme="majorEastAsia" w:hAnsi="Arial" w:cstheme="majorBidi"/>
      <w:b/>
      <w:smallCaps/>
      <w:color w:val="000000" w:themeColor="text1"/>
      <w:sz w:val="40"/>
      <w:szCs w:val="26"/>
    </w:rPr>
  </w:style>
  <w:style w:type="character" w:customStyle="1" w:styleId="Heading3Char">
    <w:name w:val="Heading 3 Char"/>
    <w:basedOn w:val="DefaultParagraphFont"/>
    <w:link w:val="Heading3"/>
    <w:uiPriority w:val="9"/>
    <w:rsid w:val="00792F33"/>
    <w:rPr>
      <w:rFonts w:ascii="Arial" w:eastAsia="Times New Roman" w:hAnsi="Arial" w:cstheme="majorBidi"/>
      <w:color w:val="000000" w:themeColor="text1"/>
      <w:sz w:val="32"/>
      <w:szCs w:val="32"/>
      <w:lang w:val="en-US" w:eastAsia="en-AU"/>
    </w:rPr>
  </w:style>
  <w:style w:type="character" w:customStyle="1" w:styleId="Heading4Char">
    <w:name w:val="Heading 4 Char"/>
    <w:basedOn w:val="DefaultParagraphFont"/>
    <w:link w:val="Heading4"/>
    <w:uiPriority w:val="9"/>
    <w:rsid w:val="00741489"/>
    <w:rPr>
      <w:rFonts w:asciiTheme="majorHAnsi" w:eastAsiaTheme="majorEastAsia" w:hAnsiTheme="majorHAnsi" w:cstheme="majorBidi"/>
      <w:i/>
      <w:iCs/>
      <w:color w:val="276E8B" w:themeColor="accent1" w:themeShade="BF"/>
    </w:rPr>
  </w:style>
  <w:style w:type="paragraph" w:styleId="Header">
    <w:name w:val="header"/>
    <w:basedOn w:val="Normal"/>
    <w:link w:val="HeaderChar"/>
    <w:uiPriority w:val="99"/>
    <w:unhideWhenUsed/>
    <w:rsid w:val="006F7A8C"/>
    <w:pPr>
      <w:tabs>
        <w:tab w:val="center" w:pos="4513"/>
        <w:tab w:val="right" w:pos="9026"/>
      </w:tabs>
      <w:spacing w:after="0"/>
    </w:pPr>
  </w:style>
  <w:style w:type="character" w:customStyle="1" w:styleId="HeaderChar">
    <w:name w:val="Header Char"/>
    <w:basedOn w:val="DefaultParagraphFont"/>
    <w:link w:val="Header"/>
    <w:uiPriority w:val="99"/>
    <w:rsid w:val="006F7A8C"/>
  </w:style>
  <w:style w:type="paragraph" w:styleId="Footer">
    <w:name w:val="footer"/>
    <w:basedOn w:val="Normal"/>
    <w:link w:val="FooterChar"/>
    <w:uiPriority w:val="99"/>
    <w:unhideWhenUsed/>
    <w:rsid w:val="006F7A8C"/>
    <w:pPr>
      <w:tabs>
        <w:tab w:val="center" w:pos="4513"/>
        <w:tab w:val="right" w:pos="9026"/>
      </w:tabs>
      <w:spacing w:after="0"/>
    </w:pPr>
  </w:style>
  <w:style w:type="character" w:customStyle="1" w:styleId="FooterChar">
    <w:name w:val="Footer Char"/>
    <w:basedOn w:val="DefaultParagraphFont"/>
    <w:link w:val="Footer"/>
    <w:uiPriority w:val="99"/>
    <w:rsid w:val="006F7A8C"/>
  </w:style>
  <w:style w:type="paragraph" w:styleId="Title">
    <w:name w:val="Title"/>
    <w:basedOn w:val="Normal"/>
    <w:next w:val="Normal"/>
    <w:link w:val="TitleChar"/>
    <w:uiPriority w:val="10"/>
    <w:qFormat/>
    <w:rsid w:val="002F0A6A"/>
    <w:pPr>
      <w:pBdr>
        <w:top w:val="single" w:sz="4" w:space="1" w:color="4A7090" w:themeColor="background2" w:themeShade="80"/>
        <w:bottom w:val="single" w:sz="4" w:space="1" w:color="4A7090" w:themeColor="background2" w:themeShade="80"/>
      </w:pBdr>
      <w:spacing w:after="120"/>
      <w:contextualSpacing/>
    </w:pPr>
    <w:rPr>
      <w:rFonts w:eastAsiaTheme="majorEastAsia" w:cstheme="majorBidi"/>
      <w:b/>
      <w:caps/>
      <w:color w:val="000000" w:themeColor="text1"/>
      <w:spacing w:val="-10"/>
      <w:kern w:val="28"/>
      <w:sz w:val="72"/>
      <w:szCs w:val="56"/>
    </w:rPr>
  </w:style>
  <w:style w:type="character" w:customStyle="1" w:styleId="TitleChar">
    <w:name w:val="Title Char"/>
    <w:basedOn w:val="DefaultParagraphFont"/>
    <w:link w:val="Title"/>
    <w:uiPriority w:val="10"/>
    <w:rsid w:val="002F0A6A"/>
    <w:rPr>
      <w:rFonts w:ascii="Arial" w:eastAsiaTheme="majorEastAsia" w:hAnsi="Arial" w:cstheme="majorBidi"/>
      <w:b/>
      <w:caps/>
      <w:color w:val="000000" w:themeColor="text1"/>
      <w:spacing w:val="-10"/>
      <w:kern w:val="28"/>
      <w:sz w:val="72"/>
      <w:szCs w:val="56"/>
    </w:rPr>
  </w:style>
  <w:style w:type="character" w:styleId="CommentReference">
    <w:name w:val="annotation reference"/>
    <w:basedOn w:val="DefaultParagraphFont"/>
    <w:uiPriority w:val="99"/>
    <w:rsid w:val="00E129BA"/>
    <w:rPr>
      <w:sz w:val="16"/>
      <w:szCs w:val="16"/>
    </w:rPr>
  </w:style>
  <w:style w:type="paragraph" w:styleId="CommentText">
    <w:name w:val="annotation text"/>
    <w:basedOn w:val="Normal"/>
    <w:link w:val="CommentTextChar"/>
    <w:uiPriority w:val="99"/>
    <w:rsid w:val="00E129BA"/>
    <w:pPr>
      <w:spacing w:before="120" w:after="120" w:line="264" w:lineRule="auto"/>
    </w:pPr>
    <w:rPr>
      <w:sz w:val="20"/>
      <w:szCs w:val="20"/>
    </w:rPr>
  </w:style>
  <w:style w:type="character" w:customStyle="1" w:styleId="CommentTextChar">
    <w:name w:val="Comment Text Char"/>
    <w:basedOn w:val="DefaultParagraphFont"/>
    <w:link w:val="CommentText"/>
    <w:uiPriority w:val="99"/>
    <w:rsid w:val="00E129BA"/>
    <w:rPr>
      <w:rFonts w:ascii="Arial" w:hAnsi="Arial"/>
      <w:sz w:val="20"/>
      <w:szCs w:val="20"/>
    </w:rPr>
  </w:style>
  <w:style w:type="paragraph" w:styleId="ListParagraph">
    <w:name w:val="List Paragraph"/>
    <w:basedOn w:val="Normal"/>
    <w:link w:val="ListParagraphChar"/>
    <w:uiPriority w:val="34"/>
    <w:qFormat/>
    <w:rsid w:val="00E129BA"/>
    <w:pPr>
      <w:ind w:left="720"/>
      <w:contextualSpacing/>
    </w:pPr>
  </w:style>
  <w:style w:type="character" w:customStyle="1" w:styleId="ListParagraphChar">
    <w:name w:val="List Paragraph Char"/>
    <w:basedOn w:val="DefaultParagraphFont"/>
    <w:link w:val="ListParagraph"/>
    <w:uiPriority w:val="34"/>
    <w:rsid w:val="007640E2"/>
    <w:rPr>
      <w:rFonts w:ascii="Arial" w:hAnsi="Arial"/>
    </w:rPr>
  </w:style>
  <w:style w:type="paragraph" w:styleId="BalloonText">
    <w:name w:val="Balloon Text"/>
    <w:basedOn w:val="Normal"/>
    <w:link w:val="BalloonTextChar"/>
    <w:uiPriority w:val="99"/>
    <w:semiHidden/>
    <w:unhideWhenUsed/>
    <w:rsid w:val="00E129B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9BA"/>
    <w:rPr>
      <w:rFonts w:ascii="Segoe UI" w:hAnsi="Segoe UI" w:cs="Segoe UI"/>
      <w:sz w:val="18"/>
      <w:szCs w:val="18"/>
    </w:rPr>
  </w:style>
  <w:style w:type="paragraph" w:customStyle="1" w:styleId="Bullets">
    <w:name w:val="Bullets"/>
    <w:basedOn w:val="ListParagraph"/>
    <w:link w:val="BulletsChar"/>
    <w:qFormat/>
    <w:rsid w:val="00B229AB"/>
    <w:pPr>
      <w:numPr>
        <w:numId w:val="15"/>
      </w:numPr>
      <w:spacing w:after="60"/>
      <w:ind w:left="350"/>
      <w:contextualSpacing w:val="0"/>
    </w:pPr>
  </w:style>
  <w:style w:type="character" w:customStyle="1" w:styleId="BulletsChar">
    <w:name w:val="Bullets Char"/>
    <w:basedOn w:val="ListParagraphChar"/>
    <w:link w:val="Bullets"/>
    <w:rsid w:val="00B229AB"/>
    <w:rPr>
      <w:rFonts w:ascii="Arial" w:hAnsi="Arial"/>
    </w:rPr>
  </w:style>
  <w:style w:type="paragraph" w:customStyle="1" w:styleId="HeadingStyle3">
    <w:name w:val="Heading Style 3"/>
    <w:basedOn w:val="Normal"/>
    <w:link w:val="HeadingStyle3Char"/>
    <w:qFormat/>
    <w:rsid w:val="009C0CC5"/>
    <w:rPr>
      <w:b/>
    </w:rPr>
  </w:style>
  <w:style w:type="character" w:customStyle="1" w:styleId="HeadingStyle3Char">
    <w:name w:val="Heading Style 3 Char"/>
    <w:basedOn w:val="DefaultParagraphFont"/>
    <w:link w:val="HeadingStyle3"/>
    <w:rsid w:val="009C0CC5"/>
    <w:rPr>
      <w:rFonts w:ascii="Arial" w:hAnsi="Arial"/>
      <w:b/>
    </w:rPr>
  </w:style>
  <w:style w:type="paragraph" w:customStyle="1" w:styleId="Style3">
    <w:name w:val="Style 3"/>
    <w:basedOn w:val="HeadingStyle3"/>
    <w:link w:val="Style3Char"/>
    <w:qFormat/>
    <w:rsid w:val="000C35D9"/>
    <w:rPr>
      <w:color w:val="4A7090" w:themeColor="background2" w:themeShade="80"/>
      <w:sz w:val="24"/>
    </w:rPr>
  </w:style>
  <w:style w:type="character" w:customStyle="1" w:styleId="Style3Char">
    <w:name w:val="Style 3 Char"/>
    <w:basedOn w:val="HeadingStyle3Char"/>
    <w:link w:val="Style3"/>
    <w:rsid w:val="000C35D9"/>
    <w:rPr>
      <w:rFonts w:ascii="Arial" w:hAnsi="Arial"/>
      <w:b/>
      <w:color w:val="4A7090" w:themeColor="background2" w:themeShade="80"/>
      <w:sz w:val="24"/>
    </w:rPr>
  </w:style>
  <w:style w:type="paragraph" w:styleId="TOCHeading">
    <w:name w:val="TOC Heading"/>
    <w:basedOn w:val="Heading1"/>
    <w:next w:val="Normal"/>
    <w:uiPriority w:val="39"/>
    <w:unhideWhenUsed/>
    <w:qFormat/>
    <w:rsid w:val="003C5F39"/>
    <w:pPr>
      <w:spacing w:after="0" w:line="259" w:lineRule="auto"/>
      <w:outlineLvl w:val="9"/>
    </w:pPr>
    <w:rPr>
      <w:rFonts w:asciiTheme="majorHAnsi" w:hAnsiTheme="majorHAnsi"/>
      <w:b w:val="0"/>
      <w:smallCaps/>
      <w:color w:val="276E8B" w:themeColor="accent1" w:themeShade="BF"/>
      <w:sz w:val="32"/>
      <w:lang w:val="en-US"/>
    </w:rPr>
  </w:style>
  <w:style w:type="paragraph" w:styleId="TOC1">
    <w:name w:val="toc 1"/>
    <w:basedOn w:val="Normal"/>
    <w:next w:val="Normal"/>
    <w:autoRedefine/>
    <w:uiPriority w:val="39"/>
    <w:unhideWhenUsed/>
    <w:qFormat/>
    <w:rsid w:val="00E75FB6"/>
    <w:pPr>
      <w:tabs>
        <w:tab w:val="right" w:leader="dot" w:pos="9841"/>
      </w:tabs>
      <w:spacing w:after="100"/>
    </w:pPr>
  </w:style>
  <w:style w:type="paragraph" w:styleId="TOC2">
    <w:name w:val="toc 2"/>
    <w:basedOn w:val="Normal"/>
    <w:next w:val="Normal"/>
    <w:autoRedefine/>
    <w:uiPriority w:val="39"/>
    <w:unhideWhenUsed/>
    <w:rsid w:val="003C5F39"/>
    <w:pPr>
      <w:spacing w:after="100"/>
      <w:ind w:left="220"/>
    </w:pPr>
  </w:style>
  <w:style w:type="character" w:styleId="Hyperlink">
    <w:name w:val="Hyperlink"/>
    <w:basedOn w:val="DefaultParagraphFont"/>
    <w:uiPriority w:val="99"/>
    <w:unhideWhenUsed/>
    <w:rsid w:val="003C5F39"/>
    <w:rPr>
      <w:color w:val="6B9F25" w:themeColor="hyperlink"/>
      <w:u w:val="single"/>
    </w:rPr>
  </w:style>
  <w:style w:type="paragraph" w:styleId="TOC3">
    <w:name w:val="toc 3"/>
    <w:basedOn w:val="Normal"/>
    <w:next w:val="Normal"/>
    <w:autoRedefine/>
    <w:uiPriority w:val="39"/>
    <w:unhideWhenUsed/>
    <w:rsid w:val="001155BA"/>
    <w:pPr>
      <w:spacing w:after="100"/>
      <w:ind w:left="440"/>
    </w:pPr>
  </w:style>
  <w:style w:type="paragraph" w:styleId="CommentSubject">
    <w:name w:val="annotation subject"/>
    <w:basedOn w:val="CommentText"/>
    <w:next w:val="CommentText"/>
    <w:link w:val="CommentSubjectChar"/>
    <w:uiPriority w:val="99"/>
    <w:semiHidden/>
    <w:unhideWhenUsed/>
    <w:rsid w:val="009F104C"/>
    <w:pPr>
      <w:spacing w:before="0" w:after="160" w:line="240" w:lineRule="auto"/>
    </w:pPr>
    <w:rPr>
      <w:b/>
      <w:bCs/>
    </w:rPr>
  </w:style>
  <w:style w:type="character" w:customStyle="1" w:styleId="CommentSubjectChar">
    <w:name w:val="Comment Subject Char"/>
    <w:basedOn w:val="CommentTextChar"/>
    <w:link w:val="CommentSubject"/>
    <w:uiPriority w:val="99"/>
    <w:semiHidden/>
    <w:rsid w:val="009F104C"/>
    <w:rPr>
      <w:rFonts w:ascii="Arial" w:hAnsi="Arial"/>
      <w:b/>
      <w:bCs/>
      <w:sz w:val="20"/>
      <w:szCs w:val="20"/>
    </w:rPr>
  </w:style>
  <w:style w:type="paragraph" w:styleId="NoSpacing">
    <w:name w:val="No Spacing"/>
    <w:uiPriority w:val="1"/>
    <w:qFormat/>
    <w:rsid w:val="008F0722"/>
    <w:pPr>
      <w:spacing w:after="0" w:line="240" w:lineRule="auto"/>
    </w:pPr>
    <w:rPr>
      <w:rFonts w:ascii="Arial" w:hAnsi="Arial"/>
    </w:rPr>
  </w:style>
  <w:style w:type="table" w:styleId="TableGrid">
    <w:name w:val="Table Grid"/>
    <w:basedOn w:val="TableNormal"/>
    <w:uiPriority w:val="39"/>
    <w:rsid w:val="00425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
    <w:rsid w:val="00237407"/>
    <w:pPr>
      <w:numPr>
        <w:numId w:val="1"/>
      </w:numPr>
      <w:spacing w:before="60" w:after="60" w:line="264" w:lineRule="auto"/>
    </w:pPr>
    <w:rPr>
      <w:sz w:val="19"/>
      <w:szCs w:val="18"/>
    </w:rPr>
  </w:style>
  <w:style w:type="paragraph" w:customStyle="1" w:styleId="NoteIndent">
    <w:name w:val="Note Indent"/>
    <w:basedOn w:val="Normal"/>
    <w:uiPriority w:val="22"/>
    <w:qFormat/>
    <w:rsid w:val="00EA4D14"/>
    <w:pPr>
      <w:tabs>
        <w:tab w:val="left" w:pos="357"/>
      </w:tabs>
      <w:spacing w:before="60" w:after="60" w:line="264" w:lineRule="auto"/>
      <w:ind w:left="360" w:hanging="360"/>
    </w:pPr>
    <w:rPr>
      <w:sz w:val="16"/>
      <w:szCs w:val="18"/>
    </w:rPr>
  </w:style>
  <w:style w:type="table" w:styleId="TableGridLight">
    <w:name w:val="Grid Table Light"/>
    <w:basedOn w:val="TableNormal"/>
    <w:uiPriority w:val="40"/>
    <w:rsid w:val="00EA4D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Heading">
    <w:name w:val="Table Text Heading"/>
    <w:basedOn w:val="Normal"/>
    <w:uiPriority w:val="13"/>
    <w:qFormat/>
    <w:rsid w:val="00EA4D14"/>
    <w:pPr>
      <w:spacing w:before="60" w:after="60" w:line="264" w:lineRule="auto"/>
      <w:jc w:val="center"/>
    </w:pPr>
    <w:rPr>
      <w:b/>
      <w:sz w:val="19"/>
      <w:szCs w:val="18"/>
    </w:rPr>
  </w:style>
  <w:style w:type="paragraph" w:customStyle="1" w:styleId="TableText">
    <w:name w:val="Table Text"/>
    <w:basedOn w:val="Normal"/>
    <w:uiPriority w:val="14"/>
    <w:rsid w:val="00EA4D14"/>
    <w:pPr>
      <w:spacing w:before="60" w:after="60" w:line="264" w:lineRule="auto"/>
    </w:pPr>
    <w:rPr>
      <w:sz w:val="19"/>
      <w:szCs w:val="18"/>
    </w:rPr>
  </w:style>
  <w:style w:type="paragraph" w:customStyle="1" w:styleId="TableTextRight">
    <w:name w:val="Table Text Right"/>
    <w:basedOn w:val="Normal"/>
    <w:uiPriority w:val="16"/>
    <w:qFormat/>
    <w:rsid w:val="00EA4D14"/>
    <w:pPr>
      <w:spacing w:before="60" w:after="60" w:line="264" w:lineRule="auto"/>
      <w:jc w:val="right"/>
    </w:pPr>
    <w:rPr>
      <w:sz w:val="19"/>
      <w:szCs w:val="18"/>
    </w:rPr>
  </w:style>
  <w:style w:type="paragraph" w:customStyle="1" w:styleId="TableTextBold">
    <w:name w:val="Table Text Bold"/>
    <w:basedOn w:val="Normal"/>
    <w:uiPriority w:val="17"/>
    <w:qFormat/>
    <w:rsid w:val="00EA4D14"/>
    <w:pPr>
      <w:spacing w:before="60" w:after="60" w:line="264" w:lineRule="auto"/>
    </w:pPr>
    <w:rPr>
      <w:b/>
      <w:sz w:val="19"/>
      <w:szCs w:val="18"/>
    </w:rPr>
  </w:style>
  <w:style w:type="paragraph" w:customStyle="1" w:styleId="TableTextItalics">
    <w:name w:val="Table Text Italics"/>
    <w:basedOn w:val="TableText"/>
    <w:uiPriority w:val="18"/>
    <w:rsid w:val="00EA4D14"/>
  </w:style>
  <w:style w:type="paragraph" w:customStyle="1" w:styleId="ListBulletIndent">
    <w:name w:val="List Bullet Indent"/>
    <w:basedOn w:val="ListBullet"/>
    <w:uiPriority w:val="9"/>
    <w:qFormat/>
    <w:rsid w:val="00EA4D14"/>
    <w:pPr>
      <w:numPr>
        <w:numId w:val="0"/>
      </w:numPr>
      <w:tabs>
        <w:tab w:val="left" w:pos="357"/>
      </w:tabs>
      <w:ind w:left="357"/>
    </w:pPr>
  </w:style>
  <w:style w:type="paragraph" w:customStyle="1" w:styleId="Note">
    <w:name w:val="Note"/>
    <w:basedOn w:val="Normal"/>
    <w:next w:val="Normal"/>
    <w:uiPriority w:val="22"/>
    <w:qFormat/>
    <w:rsid w:val="00EA4D14"/>
    <w:pPr>
      <w:spacing w:before="60" w:after="60" w:line="264" w:lineRule="auto"/>
      <w:jc w:val="both"/>
    </w:pPr>
    <w:rPr>
      <w:sz w:val="16"/>
    </w:rPr>
  </w:style>
  <w:style w:type="paragraph" w:styleId="NormalWeb">
    <w:name w:val="Normal (Web)"/>
    <w:basedOn w:val="Normal"/>
    <w:uiPriority w:val="99"/>
    <w:unhideWhenUsed/>
    <w:rsid w:val="00767B30"/>
    <w:pPr>
      <w:spacing w:before="100" w:beforeAutospacing="1" w:after="100" w:afterAutospacing="1"/>
    </w:pPr>
    <w:rPr>
      <w:rFonts w:ascii="Verdana" w:eastAsia="Times New Roman" w:hAnsi="Verdana" w:cs="Times New Roman"/>
      <w:color w:val="000000"/>
      <w:sz w:val="20"/>
      <w:szCs w:val="20"/>
      <w:lang w:eastAsia="en-AU"/>
    </w:rPr>
  </w:style>
  <w:style w:type="paragraph" w:customStyle="1" w:styleId="Officelocationstyle">
    <w:name w:val="Office location style"/>
    <w:basedOn w:val="Normal"/>
    <w:link w:val="OfficelocationstyleChar"/>
    <w:qFormat/>
    <w:rsid w:val="00A27A76"/>
    <w:pPr>
      <w:contextualSpacing/>
    </w:pPr>
  </w:style>
  <w:style w:type="character" w:customStyle="1" w:styleId="OfficelocationstyleChar">
    <w:name w:val="Office location style Char"/>
    <w:basedOn w:val="DefaultParagraphFont"/>
    <w:link w:val="Officelocationstyle"/>
    <w:rsid w:val="00A27A76"/>
    <w:rPr>
      <w:rFonts w:ascii="Arial" w:hAnsi="Arial"/>
    </w:rPr>
  </w:style>
  <w:style w:type="paragraph" w:customStyle="1" w:styleId="Officelocationsheadings">
    <w:name w:val="Office locations headings"/>
    <w:basedOn w:val="HeadingStyle3"/>
    <w:link w:val="OfficelocationsheadingsChar"/>
    <w:qFormat/>
    <w:rsid w:val="000C35D9"/>
    <w:pPr>
      <w:spacing w:before="180" w:after="0"/>
    </w:pPr>
  </w:style>
  <w:style w:type="character" w:customStyle="1" w:styleId="OfficelocationsheadingsChar">
    <w:name w:val="Office locations headings Char"/>
    <w:basedOn w:val="HeadingStyle3Char"/>
    <w:link w:val="Officelocationsheadings"/>
    <w:rsid w:val="000C35D9"/>
    <w:rPr>
      <w:rFonts w:ascii="Arial" w:hAnsi="Arial"/>
      <w:b/>
    </w:rPr>
  </w:style>
  <w:style w:type="paragraph" w:customStyle="1" w:styleId="Committebullets">
    <w:name w:val="Committe bullets"/>
    <w:basedOn w:val="Bullets"/>
    <w:link w:val="CommittebulletsChar"/>
    <w:qFormat/>
    <w:rsid w:val="00F24688"/>
    <w:pPr>
      <w:spacing w:before="40"/>
      <w:contextualSpacing/>
    </w:pPr>
    <w:rPr>
      <w:lang w:eastAsia="en-AU"/>
    </w:rPr>
  </w:style>
  <w:style w:type="character" w:customStyle="1" w:styleId="CommittebulletsChar">
    <w:name w:val="Committe bullets Char"/>
    <w:basedOn w:val="BulletsChar"/>
    <w:link w:val="Committebullets"/>
    <w:rsid w:val="00F24688"/>
    <w:rPr>
      <w:rFonts w:ascii="Arial" w:hAnsi="Arial"/>
      <w:lang w:eastAsia="en-AU"/>
    </w:rPr>
  </w:style>
  <w:style w:type="paragraph" w:customStyle="1" w:styleId="Default">
    <w:name w:val="Default"/>
    <w:rsid w:val="00426FA0"/>
    <w:pPr>
      <w:autoSpaceDE w:val="0"/>
      <w:autoSpaceDN w:val="0"/>
      <w:adjustRightInd w:val="0"/>
      <w:spacing w:after="0" w:line="240" w:lineRule="auto"/>
    </w:pPr>
    <w:rPr>
      <w:rFonts w:ascii="ORJRU T+ Meta Normal LF" w:hAnsi="ORJRU T+ Meta Normal LF" w:cs="ORJRU T+ Meta Normal LF"/>
      <w:color w:val="000000"/>
      <w:sz w:val="24"/>
      <w:szCs w:val="24"/>
    </w:rPr>
  </w:style>
  <w:style w:type="character" w:styleId="Emphasis">
    <w:name w:val="Emphasis"/>
    <w:basedOn w:val="DefaultParagraphFont"/>
    <w:uiPriority w:val="20"/>
    <w:qFormat/>
    <w:rsid w:val="007C2DCF"/>
    <w:rPr>
      <w:i/>
      <w:iCs/>
    </w:rPr>
  </w:style>
  <w:style w:type="character" w:styleId="FollowedHyperlink">
    <w:name w:val="FollowedHyperlink"/>
    <w:basedOn w:val="DefaultParagraphFont"/>
    <w:uiPriority w:val="99"/>
    <w:semiHidden/>
    <w:unhideWhenUsed/>
    <w:rsid w:val="00C2411C"/>
    <w:rPr>
      <w:color w:val="9F6715" w:themeColor="followedHyperlink"/>
      <w:u w:val="single"/>
    </w:rPr>
  </w:style>
  <w:style w:type="paragraph" w:customStyle="1" w:styleId="EstimatesBullet1">
    <w:name w:val="Estimates_Bullet 1"/>
    <w:basedOn w:val="Normal"/>
    <w:rsid w:val="00EB0F7C"/>
    <w:pPr>
      <w:numPr>
        <w:numId w:val="2"/>
      </w:numPr>
      <w:spacing w:after="0"/>
      <w:ind w:right="-143"/>
    </w:pPr>
    <w:rPr>
      <w:rFonts w:eastAsia="Times New Roman" w:cs="Times New Roman"/>
      <w:spacing w:val="-3"/>
      <w:sz w:val="24"/>
      <w:szCs w:val="24"/>
      <w:lang w:eastAsia="en-AU"/>
    </w:rPr>
  </w:style>
  <w:style w:type="character" w:styleId="Strong">
    <w:name w:val="Strong"/>
    <w:basedOn w:val="DefaultParagraphFont"/>
    <w:uiPriority w:val="22"/>
    <w:qFormat/>
    <w:rsid w:val="00B32BBF"/>
    <w:rPr>
      <w:b/>
      <w:bCs/>
    </w:rPr>
  </w:style>
  <w:style w:type="paragraph" w:styleId="TOC4">
    <w:name w:val="toc 4"/>
    <w:basedOn w:val="Normal"/>
    <w:next w:val="Normal"/>
    <w:autoRedefine/>
    <w:uiPriority w:val="39"/>
    <w:unhideWhenUsed/>
    <w:rsid w:val="0080649E"/>
    <w:pPr>
      <w:spacing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80649E"/>
    <w:pPr>
      <w:spacing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80649E"/>
    <w:pPr>
      <w:spacing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80649E"/>
    <w:pPr>
      <w:spacing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80649E"/>
    <w:pPr>
      <w:spacing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80649E"/>
    <w:pPr>
      <w:spacing w:after="100" w:line="259" w:lineRule="auto"/>
      <w:ind w:left="1760"/>
    </w:pPr>
    <w:rPr>
      <w:rFonts w:asciiTheme="minorHAnsi" w:eastAsiaTheme="minorEastAsia" w:hAnsiTheme="minorHAnsi"/>
      <w:lang w:eastAsia="en-AU"/>
    </w:rPr>
  </w:style>
  <w:style w:type="character" w:customStyle="1" w:styleId="apple-converted-space">
    <w:name w:val="apple-converted-space"/>
    <w:basedOn w:val="DefaultParagraphFont"/>
    <w:rsid w:val="005D4F99"/>
  </w:style>
  <w:style w:type="paragraph" w:styleId="Revision">
    <w:name w:val="Revision"/>
    <w:hidden/>
    <w:uiPriority w:val="99"/>
    <w:semiHidden/>
    <w:rsid w:val="004541F1"/>
    <w:pPr>
      <w:spacing w:after="0" w:line="240" w:lineRule="auto"/>
    </w:pPr>
    <w:rPr>
      <w:rFonts w:ascii="Arial" w:hAnsi="Arial"/>
    </w:rPr>
  </w:style>
  <w:style w:type="character" w:customStyle="1" w:styleId="Heading9Char">
    <w:name w:val="Heading 9 Char"/>
    <w:basedOn w:val="DefaultParagraphFont"/>
    <w:link w:val="Heading9"/>
    <w:uiPriority w:val="9"/>
    <w:semiHidden/>
    <w:rsid w:val="007524B1"/>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7524B1"/>
    <w:pPr>
      <w:widowControl w:val="0"/>
      <w:spacing w:after="0"/>
      <w:ind w:left="110"/>
    </w:pPr>
    <w:rPr>
      <w:rFonts w:eastAsia="Arial"/>
      <w:sz w:val="19"/>
      <w:szCs w:val="19"/>
      <w:lang w:val="en-US"/>
    </w:rPr>
  </w:style>
  <w:style w:type="character" w:customStyle="1" w:styleId="BodyTextChar">
    <w:name w:val="Body Text Char"/>
    <w:basedOn w:val="DefaultParagraphFont"/>
    <w:link w:val="BodyText"/>
    <w:uiPriority w:val="1"/>
    <w:rsid w:val="007524B1"/>
    <w:rPr>
      <w:rFonts w:ascii="Arial" w:eastAsia="Arial" w:hAnsi="Arial"/>
      <w:sz w:val="19"/>
      <w:szCs w:val="19"/>
      <w:lang w:val="en-US"/>
    </w:rPr>
  </w:style>
  <w:style w:type="character" w:customStyle="1" w:styleId="Heading5Char">
    <w:name w:val="Heading 5 Char"/>
    <w:basedOn w:val="DefaultParagraphFont"/>
    <w:link w:val="Heading5"/>
    <w:uiPriority w:val="9"/>
    <w:rsid w:val="005E0AF4"/>
    <w:rPr>
      <w:rFonts w:asciiTheme="majorHAnsi" w:eastAsiaTheme="majorEastAsia" w:hAnsiTheme="majorHAnsi" w:cstheme="majorBidi"/>
      <w:b/>
      <w:color w:val="276E8B" w:themeColor="accent1" w:themeShade="BF"/>
    </w:rPr>
  </w:style>
  <w:style w:type="paragraph" w:customStyle="1" w:styleId="Tableheadings">
    <w:name w:val="Table headings"/>
    <w:basedOn w:val="Normal"/>
    <w:rsid w:val="000E2F05"/>
    <w:pPr>
      <w:spacing w:before="180" w:after="60" w:line="264" w:lineRule="auto"/>
    </w:pPr>
    <w:rPr>
      <w:rFonts w:eastAsia="Times New Roman" w:cs="Times New Roman"/>
      <w:szCs w:val="24"/>
    </w:rPr>
  </w:style>
  <w:style w:type="table" w:styleId="ListTable5Dark-Accent2">
    <w:name w:val="List Table 5 Dark Accent 2"/>
    <w:basedOn w:val="TableNormal"/>
    <w:uiPriority w:val="50"/>
    <w:rsid w:val="00453887"/>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Tabletextindent">
    <w:name w:val="Table text indent"/>
    <w:basedOn w:val="Normal"/>
    <w:uiPriority w:val="14"/>
    <w:qFormat/>
    <w:rsid w:val="00420491"/>
    <w:pPr>
      <w:spacing w:before="60" w:after="60" w:line="264" w:lineRule="auto"/>
      <w:ind w:left="357"/>
    </w:pPr>
    <w:rPr>
      <w:sz w:val="19"/>
      <w:szCs w:val="18"/>
    </w:rPr>
  </w:style>
  <w:style w:type="paragraph" w:customStyle="1" w:styleId="Tabletextrightbold">
    <w:name w:val="Table text right bold"/>
    <w:basedOn w:val="TableTextRight"/>
    <w:uiPriority w:val="7"/>
    <w:qFormat/>
    <w:rsid w:val="00A9472D"/>
    <w:rPr>
      <w:rFonts w:asciiTheme="minorHAnsi" w:hAnsiTheme="minorHAnsi"/>
      <w:b/>
      <w:szCs w:val="22"/>
    </w:rPr>
  </w:style>
  <w:style w:type="character" w:customStyle="1" w:styleId="Bold">
    <w:name w:val="Bold"/>
    <w:basedOn w:val="DefaultParagraphFont"/>
    <w:uiPriority w:val="1"/>
    <w:qFormat/>
    <w:rsid w:val="00A9472D"/>
    <w:rPr>
      <w:b/>
    </w:rPr>
  </w:style>
  <w:style w:type="paragraph" w:customStyle="1" w:styleId="TableListBullet2">
    <w:name w:val="Table List Bullet 2"/>
    <w:basedOn w:val="Normal"/>
    <w:uiPriority w:val="20"/>
    <w:qFormat/>
    <w:rsid w:val="0044042D"/>
    <w:pPr>
      <w:numPr>
        <w:numId w:val="4"/>
      </w:numPr>
      <w:tabs>
        <w:tab w:val="left" w:pos="714"/>
      </w:tabs>
      <w:spacing w:before="60" w:after="60" w:line="264" w:lineRule="auto"/>
      <w:ind w:left="714" w:hanging="357"/>
    </w:pPr>
    <w:rPr>
      <w:sz w:val="19"/>
      <w:szCs w:val="18"/>
    </w:rPr>
  </w:style>
  <w:style w:type="paragraph" w:customStyle="1" w:styleId="Hyperlinks">
    <w:name w:val="Hyperlinks"/>
    <w:basedOn w:val="Normal"/>
    <w:link w:val="HyperlinksChar"/>
    <w:qFormat/>
    <w:rsid w:val="0096380C"/>
    <w:rPr>
      <w:color w:val="3494BA" w:themeColor="accent1"/>
    </w:rPr>
  </w:style>
  <w:style w:type="character" w:customStyle="1" w:styleId="Superscript">
    <w:name w:val="Superscript"/>
    <w:basedOn w:val="DefaultParagraphFont"/>
    <w:uiPriority w:val="1"/>
    <w:qFormat/>
    <w:rsid w:val="00FE42DF"/>
    <w:rPr>
      <w:vertAlign w:val="superscript"/>
    </w:rPr>
  </w:style>
  <w:style w:type="character" w:customStyle="1" w:styleId="HyperlinksChar">
    <w:name w:val="Hyperlinks Char"/>
    <w:basedOn w:val="DefaultParagraphFont"/>
    <w:link w:val="Hyperlinks"/>
    <w:rsid w:val="0096380C"/>
    <w:rPr>
      <w:rFonts w:ascii="Arial" w:hAnsi="Arial"/>
      <w:color w:val="3494BA" w:themeColor="accent1"/>
    </w:rPr>
  </w:style>
  <w:style w:type="character" w:customStyle="1" w:styleId="Heading6Char">
    <w:name w:val="Heading 6 Char"/>
    <w:basedOn w:val="DefaultParagraphFont"/>
    <w:link w:val="Heading6"/>
    <w:uiPriority w:val="1"/>
    <w:rsid w:val="009F29BA"/>
    <w:rPr>
      <w:rFonts w:ascii="Arial" w:eastAsia="Arial" w:hAnsi="Arial"/>
      <w:sz w:val="30"/>
      <w:szCs w:val="30"/>
      <w:lang w:val="en-US"/>
    </w:rPr>
  </w:style>
  <w:style w:type="character" w:customStyle="1" w:styleId="Heading7Char">
    <w:name w:val="Heading 7 Char"/>
    <w:basedOn w:val="DefaultParagraphFont"/>
    <w:link w:val="Heading7"/>
    <w:uiPriority w:val="1"/>
    <w:rsid w:val="009F29BA"/>
    <w:rPr>
      <w:rFonts w:ascii="Arial" w:eastAsia="Arial" w:hAnsi="Arial"/>
      <w:sz w:val="28"/>
      <w:szCs w:val="28"/>
      <w:lang w:val="en-US"/>
    </w:rPr>
  </w:style>
  <w:style w:type="character" w:customStyle="1" w:styleId="Heading8Char">
    <w:name w:val="Heading 8 Char"/>
    <w:basedOn w:val="DefaultParagraphFont"/>
    <w:link w:val="Heading8"/>
    <w:uiPriority w:val="1"/>
    <w:rsid w:val="009F29BA"/>
    <w:rPr>
      <w:rFonts w:ascii="Arial" w:eastAsia="Arial" w:hAnsi="Arial"/>
      <w:sz w:val="24"/>
      <w:szCs w:val="24"/>
      <w:lang w:val="en-US"/>
    </w:rPr>
  </w:style>
  <w:style w:type="paragraph" w:customStyle="1" w:styleId="TableParagraph">
    <w:name w:val="Table Paragraph"/>
    <w:basedOn w:val="Normal"/>
    <w:uiPriority w:val="1"/>
    <w:qFormat/>
    <w:rsid w:val="009F29BA"/>
    <w:pPr>
      <w:widowControl w:val="0"/>
      <w:spacing w:after="0"/>
    </w:pPr>
    <w:rPr>
      <w:rFonts w:asciiTheme="minorHAnsi" w:hAnsiTheme="minorHAnsi"/>
      <w:lang w:val="en-US"/>
    </w:rPr>
  </w:style>
  <w:style w:type="character" w:styleId="IntenseEmphasis">
    <w:name w:val="Intense Emphasis"/>
    <w:basedOn w:val="DefaultParagraphFont"/>
    <w:uiPriority w:val="21"/>
    <w:qFormat/>
    <w:rsid w:val="00792F33"/>
    <w:rPr>
      <w:i/>
      <w:iCs/>
      <w:color w:val="000000" w:themeColor="text1"/>
    </w:rPr>
  </w:style>
  <w:style w:type="paragraph" w:customStyle="1" w:styleId="BODY">
    <w:name w:val="BODY"/>
    <w:basedOn w:val="Normal"/>
    <w:uiPriority w:val="99"/>
    <w:rsid w:val="00E30C09"/>
    <w:pPr>
      <w:suppressAutoHyphens/>
      <w:autoSpaceDE w:val="0"/>
      <w:autoSpaceDN w:val="0"/>
      <w:adjustRightInd w:val="0"/>
      <w:spacing w:after="85" w:line="250" w:lineRule="atLeast"/>
      <w:textAlignment w:val="center"/>
    </w:pPr>
    <w:rPr>
      <w:rFonts w:ascii="MetaNormalLF-Roman" w:hAnsi="MetaNormalLF-Roman" w:cs="MetaNormalLF-Roman"/>
      <w:color w:val="404041"/>
      <w:spacing w:val="-2"/>
      <w:sz w:val="19"/>
      <w:szCs w:val="19"/>
      <w:lang w:val="en-US"/>
    </w:rPr>
  </w:style>
  <w:style w:type="character" w:customStyle="1" w:styleId="bold0">
    <w:name w:val="bold"/>
    <w:uiPriority w:val="99"/>
    <w:rsid w:val="00E30C09"/>
    <w:rPr>
      <w:rFonts w:ascii="MetaBoldLF-Roman" w:hAnsi="MetaBoldLF-Roman" w:cs="MetaBoldLF-Roman"/>
    </w:rPr>
  </w:style>
  <w:style w:type="character" w:customStyle="1" w:styleId="NormalLFItalic">
    <w:name w:val="Normal LF Italic"/>
    <w:uiPriority w:val="99"/>
    <w:rsid w:val="00E30C09"/>
    <w:rPr>
      <w:rFonts w:ascii="MetaNormalLF-Italic" w:hAnsi="MetaNormalLF-Italic" w:cs="MetaNormalLF-Italic"/>
    </w:rPr>
  </w:style>
  <w:style w:type="paragraph" w:customStyle="1" w:styleId="SUBHEAD">
    <w:name w:val="SUBHEAD"/>
    <w:basedOn w:val="Normal"/>
    <w:uiPriority w:val="99"/>
    <w:rsid w:val="0081617D"/>
    <w:pPr>
      <w:tabs>
        <w:tab w:val="left" w:pos="300"/>
      </w:tabs>
      <w:suppressAutoHyphens/>
      <w:autoSpaceDE w:val="0"/>
      <w:autoSpaceDN w:val="0"/>
      <w:adjustRightInd w:val="0"/>
      <w:spacing w:before="113" w:after="57" w:line="288" w:lineRule="auto"/>
      <w:textAlignment w:val="center"/>
    </w:pPr>
    <w:rPr>
      <w:rFonts w:ascii="MetaBold-Roman" w:hAnsi="MetaBold-Roman" w:cs="MetaBold-Roman"/>
      <w:color w:val="B70A4D"/>
      <w:sz w:val="20"/>
      <w:szCs w:val="20"/>
      <w:lang w:val="en-GB"/>
    </w:rPr>
  </w:style>
  <w:style w:type="paragraph" w:customStyle="1" w:styleId="BasicParagraph">
    <w:name w:val="[Basic Paragraph]"/>
    <w:basedOn w:val="Normal"/>
    <w:uiPriority w:val="99"/>
    <w:rsid w:val="0081617D"/>
    <w:pPr>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H1">
    <w:name w:val="H1"/>
    <w:basedOn w:val="Normal"/>
    <w:uiPriority w:val="99"/>
    <w:rsid w:val="0081617D"/>
    <w:pPr>
      <w:pBdr>
        <w:top w:val="single" w:sz="16" w:space="19" w:color="auto"/>
        <w:bottom w:val="single" w:sz="6" w:space="8" w:color="auto"/>
      </w:pBdr>
      <w:suppressAutoHyphens/>
      <w:autoSpaceDE w:val="0"/>
      <w:autoSpaceDN w:val="0"/>
      <w:adjustRightInd w:val="0"/>
      <w:spacing w:after="340" w:line="288" w:lineRule="auto"/>
      <w:textAlignment w:val="center"/>
    </w:pPr>
    <w:rPr>
      <w:rFonts w:ascii="MetaBoldLF-Roman" w:hAnsi="MetaBoldLF-Roman" w:cs="MetaBoldLF-Roman"/>
      <w:caps/>
      <w:color w:val="B70A4D"/>
      <w:sz w:val="36"/>
      <w:szCs w:val="36"/>
      <w:lang w:val="en-US"/>
    </w:rPr>
  </w:style>
  <w:style w:type="paragraph" w:customStyle="1" w:styleId="INTROPARA">
    <w:name w:val="INTRO PARA"/>
    <w:basedOn w:val="Normal"/>
    <w:uiPriority w:val="99"/>
    <w:rsid w:val="0081617D"/>
    <w:pPr>
      <w:suppressAutoHyphens/>
      <w:autoSpaceDE w:val="0"/>
      <w:autoSpaceDN w:val="0"/>
      <w:adjustRightInd w:val="0"/>
      <w:spacing w:after="113" w:line="288" w:lineRule="auto"/>
      <w:textAlignment w:val="center"/>
    </w:pPr>
    <w:rPr>
      <w:rFonts w:ascii="MetaNormalLF-Roman" w:hAnsi="MetaNormalLF-Roman" w:cs="MetaNormalLF-Roman"/>
      <w:color w:val="404041"/>
      <w:sz w:val="32"/>
      <w:szCs w:val="32"/>
      <w:lang w:val="en-US"/>
    </w:rPr>
  </w:style>
  <w:style w:type="paragraph" w:customStyle="1" w:styleId="H2">
    <w:name w:val="H2"/>
    <w:basedOn w:val="Normal"/>
    <w:uiPriority w:val="99"/>
    <w:rsid w:val="0081617D"/>
    <w:pPr>
      <w:suppressAutoHyphens/>
      <w:autoSpaceDE w:val="0"/>
      <w:autoSpaceDN w:val="0"/>
      <w:adjustRightInd w:val="0"/>
      <w:spacing w:before="227" w:after="113" w:line="288" w:lineRule="auto"/>
      <w:textAlignment w:val="center"/>
    </w:pPr>
    <w:rPr>
      <w:rFonts w:ascii="MetaBoldLF-Roman" w:hAnsi="MetaBoldLF-Roman" w:cs="MetaBoldLF-Roman"/>
      <w:color w:val="B70A4D"/>
      <w:sz w:val="32"/>
      <w:szCs w:val="32"/>
      <w:lang w:val="en-US"/>
    </w:rPr>
  </w:style>
  <w:style w:type="paragraph" w:customStyle="1" w:styleId="NoParagraphStyle">
    <w:name w:val="[No Paragraph Style]"/>
    <w:rsid w:val="0081617D"/>
    <w:pPr>
      <w:autoSpaceDE w:val="0"/>
      <w:autoSpaceDN w:val="0"/>
      <w:adjustRightInd w:val="0"/>
      <w:spacing w:after="0" w:line="288" w:lineRule="auto"/>
      <w:textAlignment w:val="center"/>
    </w:pPr>
    <w:rPr>
      <w:rFonts w:ascii="MetaBoldLF-Roman" w:hAnsi="MetaBoldLF-Roman"/>
      <w:color w:val="000000"/>
      <w:sz w:val="24"/>
      <w:szCs w:val="24"/>
      <w:lang w:val="en-US"/>
    </w:rPr>
  </w:style>
  <w:style w:type="paragraph" w:customStyle="1" w:styleId="Tableheadrightalign">
    <w:name w:val="Table head right align"/>
    <w:basedOn w:val="Normal"/>
    <w:uiPriority w:val="99"/>
    <w:rsid w:val="0081617D"/>
    <w:pPr>
      <w:suppressAutoHyphens/>
      <w:autoSpaceDE w:val="0"/>
      <w:autoSpaceDN w:val="0"/>
      <w:adjustRightInd w:val="0"/>
      <w:spacing w:after="85" w:line="250" w:lineRule="atLeast"/>
      <w:jc w:val="right"/>
      <w:textAlignment w:val="center"/>
    </w:pPr>
    <w:rPr>
      <w:rFonts w:ascii="MetaBoldLF-Roman" w:hAnsi="MetaBoldLF-Roman" w:cs="MetaBoldLF-Roman"/>
      <w:color w:val="FFFFFF"/>
      <w:spacing w:val="-2"/>
      <w:sz w:val="19"/>
      <w:szCs w:val="19"/>
      <w:lang w:val="en-US"/>
    </w:rPr>
  </w:style>
  <w:style w:type="paragraph" w:customStyle="1" w:styleId="Tablebodyrightalign">
    <w:name w:val="Table body right align"/>
    <w:basedOn w:val="BODY"/>
    <w:uiPriority w:val="99"/>
    <w:rsid w:val="0081617D"/>
    <w:pPr>
      <w:jc w:val="right"/>
    </w:pPr>
  </w:style>
  <w:style w:type="paragraph" w:customStyle="1" w:styleId="Tablefootnote">
    <w:name w:val="Table footnote"/>
    <w:basedOn w:val="BODY"/>
    <w:uiPriority w:val="99"/>
    <w:rsid w:val="0081617D"/>
    <w:pPr>
      <w:spacing w:line="180" w:lineRule="atLeast"/>
    </w:pPr>
    <w:rPr>
      <w:spacing w:val="-1"/>
      <w:sz w:val="14"/>
      <w:szCs w:val="14"/>
    </w:rPr>
  </w:style>
  <w:style w:type="paragraph" w:customStyle="1" w:styleId="Bullet2ndlevel">
    <w:name w:val="Bullet 2nd level"/>
    <w:basedOn w:val="Bullets"/>
    <w:uiPriority w:val="99"/>
    <w:rsid w:val="0081617D"/>
    <w:pPr>
      <w:tabs>
        <w:tab w:val="left" w:pos="227"/>
      </w:tabs>
      <w:suppressAutoHyphens/>
      <w:autoSpaceDE w:val="0"/>
      <w:autoSpaceDN w:val="0"/>
      <w:adjustRightInd w:val="0"/>
      <w:spacing w:after="57" w:line="250" w:lineRule="atLeast"/>
      <w:ind w:left="454" w:hanging="227"/>
      <w:textAlignment w:val="center"/>
    </w:pPr>
    <w:rPr>
      <w:rFonts w:ascii="MetaNormalLF-Roman" w:hAnsi="MetaNormalLF-Roman" w:cs="MetaNormalLF-Roman"/>
      <w:color w:val="404041"/>
      <w:spacing w:val="-2"/>
      <w:sz w:val="19"/>
      <w:szCs w:val="19"/>
      <w:lang w:val="en-US"/>
    </w:rPr>
  </w:style>
  <w:style w:type="paragraph" w:customStyle="1" w:styleId="BODYBOLDforcontacts">
    <w:name w:val="BODY BOLD for contacts"/>
    <w:basedOn w:val="BODY"/>
    <w:uiPriority w:val="99"/>
    <w:rsid w:val="0081617D"/>
    <w:pPr>
      <w:spacing w:after="0" w:line="200" w:lineRule="atLeast"/>
    </w:pPr>
    <w:rPr>
      <w:rFonts w:ascii="MetaBoldLF-Roman" w:hAnsi="MetaBoldLF-Roman" w:cs="MetaBoldLF-Roman"/>
    </w:rPr>
  </w:style>
  <w:style w:type="paragraph" w:customStyle="1" w:styleId="BodyforContacts">
    <w:name w:val="Body for Contacts"/>
    <w:basedOn w:val="BODY"/>
    <w:uiPriority w:val="99"/>
    <w:rsid w:val="0081617D"/>
    <w:pPr>
      <w:spacing w:after="0" w:line="200" w:lineRule="atLeast"/>
    </w:pPr>
  </w:style>
  <w:style w:type="character" w:styleId="Mention">
    <w:name w:val="Mention"/>
    <w:basedOn w:val="DefaultParagraphFont"/>
    <w:uiPriority w:val="99"/>
    <w:semiHidden/>
    <w:unhideWhenUsed/>
    <w:rsid w:val="005C5EE3"/>
    <w:rPr>
      <w:color w:val="2B579A"/>
      <w:shd w:val="clear" w:color="auto" w:fill="E6E6E6"/>
    </w:rPr>
  </w:style>
  <w:style w:type="table" w:styleId="GridTable4">
    <w:name w:val="Grid Table 4"/>
    <w:basedOn w:val="TableNormal"/>
    <w:uiPriority w:val="49"/>
    <w:rsid w:val="00536C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36C1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F109E2"/>
    <w:rPr>
      <w:color w:val="808080"/>
      <w:shd w:val="clear" w:color="auto" w:fill="E6E6E6"/>
    </w:rPr>
  </w:style>
  <w:style w:type="paragraph" w:customStyle="1" w:styleId="ARsub-bullets">
    <w:name w:val="AR sub-bullets"/>
    <w:basedOn w:val="Bullets"/>
    <w:link w:val="ARsub-bulletsChar"/>
    <w:qFormat/>
    <w:rsid w:val="00335F12"/>
    <w:pPr>
      <w:numPr>
        <w:numId w:val="14"/>
      </w:numPr>
    </w:pPr>
  </w:style>
  <w:style w:type="character" w:customStyle="1" w:styleId="ARsub-bulletsChar">
    <w:name w:val="AR sub-bullets Char"/>
    <w:basedOn w:val="BulletsChar"/>
    <w:link w:val="ARsub-bullets"/>
    <w:rsid w:val="00D03092"/>
    <w:rPr>
      <w:rFonts w:ascii="Arial" w:hAnsi="Arial"/>
    </w:rPr>
  </w:style>
  <w:style w:type="paragraph" w:customStyle="1" w:styleId="ARHeading4">
    <w:name w:val="AR Heading 4"/>
    <w:basedOn w:val="Heading3"/>
    <w:link w:val="ARHeading4Char"/>
    <w:qFormat/>
    <w:rsid w:val="006A75F2"/>
    <w:rPr>
      <w:b/>
      <w:bCs/>
      <w:sz w:val="24"/>
    </w:rPr>
  </w:style>
  <w:style w:type="paragraph" w:customStyle="1" w:styleId="GOVBulletPointLevel1">
    <w:name w:val="GOV Bullet Point + Level 1"/>
    <w:basedOn w:val="Normal"/>
    <w:rsid w:val="00C6259C"/>
    <w:pPr>
      <w:widowControl w:val="0"/>
      <w:numPr>
        <w:numId w:val="13"/>
      </w:numPr>
      <w:spacing w:after="0"/>
      <w:jc w:val="both"/>
    </w:pPr>
    <w:rPr>
      <w:rFonts w:ascii="Times New Roman" w:eastAsia="Times New Roman" w:hAnsi="Times New Roman" w:cs="Times New Roman"/>
      <w:snapToGrid w:val="0"/>
      <w:szCs w:val="20"/>
    </w:rPr>
  </w:style>
  <w:style w:type="character" w:customStyle="1" w:styleId="ARHeading4Char">
    <w:name w:val="AR Heading 4 Char"/>
    <w:basedOn w:val="Heading3Char"/>
    <w:link w:val="ARHeading4"/>
    <w:rsid w:val="006A75F2"/>
    <w:rPr>
      <w:rFonts w:ascii="Arial" w:eastAsiaTheme="majorEastAsia" w:hAnsi="Arial" w:cstheme="majorBidi"/>
      <w:b/>
      <w:bCs/>
      <w:color w:val="000000" w:themeColor="text1"/>
      <w:sz w:val="24"/>
      <w:szCs w:val="24"/>
      <w:lang w:val="en-US" w:eastAsia="en-AU"/>
    </w:rPr>
  </w:style>
  <w:style w:type="paragraph" w:customStyle="1" w:styleId="Pa4">
    <w:name w:val="Pa4"/>
    <w:basedOn w:val="Default"/>
    <w:next w:val="Default"/>
    <w:uiPriority w:val="99"/>
    <w:rsid w:val="008669C9"/>
    <w:pPr>
      <w:spacing w:line="181" w:lineRule="atLeast"/>
    </w:pPr>
    <w:rPr>
      <w:rFonts w:ascii="GJPSX J+ Meta Normal LF" w:hAnsi="GJPSX J+ Meta Normal LF" w:cstheme="minorBidi"/>
      <w:color w:val="auto"/>
    </w:rPr>
  </w:style>
  <w:style w:type="character" w:customStyle="1" w:styleId="A10">
    <w:name w:val="A10"/>
    <w:uiPriority w:val="99"/>
    <w:rsid w:val="000C7933"/>
    <w:rPr>
      <w:rFonts w:cs="MetaBold-Roman"/>
      <w:color w:val="555658"/>
    </w:rPr>
  </w:style>
  <w:style w:type="paragraph" w:customStyle="1" w:styleId="Pa10">
    <w:name w:val="Pa10"/>
    <w:basedOn w:val="Default"/>
    <w:next w:val="Default"/>
    <w:uiPriority w:val="99"/>
    <w:rsid w:val="000C7933"/>
    <w:pPr>
      <w:spacing w:line="181" w:lineRule="atLeast"/>
    </w:pPr>
    <w:rPr>
      <w:rFonts w:ascii="MetaBold-Roman" w:hAnsi="MetaBold-Roman" w:cstheme="minorBidi"/>
      <w:color w:val="auto"/>
    </w:rPr>
  </w:style>
  <w:style w:type="character" w:customStyle="1" w:styleId="A1">
    <w:name w:val="A1"/>
    <w:uiPriority w:val="99"/>
    <w:rsid w:val="000C7933"/>
    <w:rPr>
      <w:rFonts w:ascii="MetaNormal-Roman" w:hAnsi="MetaNormal-Roman" w:cs="MetaNormal-Roman"/>
      <w:color w:val="40404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86838">
      <w:bodyDiv w:val="1"/>
      <w:marLeft w:val="0"/>
      <w:marRight w:val="0"/>
      <w:marTop w:val="0"/>
      <w:marBottom w:val="0"/>
      <w:divBdr>
        <w:top w:val="none" w:sz="0" w:space="0" w:color="auto"/>
        <w:left w:val="none" w:sz="0" w:space="0" w:color="auto"/>
        <w:bottom w:val="none" w:sz="0" w:space="0" w:color="auto"/>
        <w:right w:val="none" w:sz="0" w:space="0" w:color="auto"/>
      </w:divBdr>
    </w:div>
    <w:div w:id="123932551">
      <w:bodyDiv w:val="1"/>
      <w:marLeft w:val="0"/>
      <w:marRight w:val="0"/>
      <w:marTop w:val="0"/>
      <w:marBottom w:val="0"/>
      <w:divBdr>
        <w:top w:val="none" w:sz="0" w:space="0" w:color="auto"/>
        <w:left w:val="none" w:sz="0" w:space="0" w:color="auto"/>
        <w:bottom w:val="none" w:sz="0" w:space="0" w:color="auto"/>
        <w:right w:val="none" w:sz="0" w:space="0" w:color="auto"/>
      </w:divBdr>
    </w:div>
    <w:div w:id="159515294">
      <w:bodyDiv w:val="1"/>
      <w:marLeft w:val="0"/>
      <w:marRight w:val="0"/>
      <w:marTop w:val="0"/>
      <w:marBottom w:val="0"/>
      <w:divBdr>
        <w:top w:val="none" w:sz="0" w:space="0" w:color="auto"/>
        <w:left w:val="none" w:sz="0" w:space="0" w:color="auto"/>
        <w:bottom w:val="none" w:sz="0" w:space="0" w:color="auto"/>
        <w:right w:val="none" w:sz="0" w:space="0" w:color="auto"/>
      </w:divBdr>
    </w:div>
    <w:div w:id="217667235">
      <w:bodyDiv w:val="1"/>
      <w:marLeft w:val="0"/>
      <w:marRight w:val="0"/>
      <w:marTop w:val="0"/>
      <w:marBottom w:val="0"/>
      <w:divBdr>
        <w:top w:val="none" w:sz="0" w:space="0" w:color="auto"/>
        <w:left w:val="none" w:sz="0" w:space="0" w:color="auto"/>
        <w:bottom w:val="none" w:sz="0" w:space="0" w:color="auto"/>
        <w:right w:val="none" w:sz="0" w:space="0" w:color="auto"/>
      </w:divBdr>
    </w:div>
    <w:div w:id="275988539">
      <w:bodyDiv w:val="1"/>
      <w:marLeft w:val="0"/>
      <w:marRight w:val="0"/>
      <w:marTop w:val="0"/>
      <w:marBottom w:val="0"/>
      <w:divBdr>
        <w:top w:val="none" w:sz="0" w:space="0" w:color="auto"/>
        <w:left w:val="none" w:sz="0" w:space="0" w:color="auto"/>
        <w:bottom w:val="none" w:sz="0" w:space="0" w:color="auto"/>
        <w:right w:val="none" w:sz="0" w:space="0" w:color="auto"/>
      </w:divBdr>
    </w:div>
    <w:div w:id="289166652">
      <w:bodyDiv w:val="1"/>
      <w:marLeft w:val="0"/>
      <w:marRight w:val="0"/>
      <w:marTop w:val="0"/>
      <w:marBottom w:val="0"/>
      <w:divBdr>
        <w:top w:val="none" w:sz="0" w:space="0" w:color="auto"/>
        <w:left w:val="none" w:sz="0" w:space="0" w:color="auto"/>
        <w:bottom w:val="none" w:sz="0" w:space="0" w:color="auto"/>
        <w:right w:val="none" w:sz="0" w:space="0" w:color="auto"/>
      </w:divBdr>
    </w:div>
    <w:div w:id="313989709">
      <w:bodyDiv w:val="1"/>
      <w:marLeft w:val="0"/>
      <w:marRight w:val="0"/>
      <w:marTop w:val="0"/>
      <w:marBottom w:val="0"/>
      <w:divBdr>
        <w:top w:val="none" w:sz="0" w:space="0" w:color="auto"/>
        <w:left w:val="none" w:sz="0" w:space="0" w:color="auto"/>
        <w:bottom w:val="none" w:sz="0" w:space="0" w:color="auto"/>
        <w:right w:val="none" w:sz="0" w:space="0" w:color="auto"/>
      </w:divBdr>
    </w:div>
    <w:div w:id="348024794">
      <w:bodyDiv w:val="1"/>
      <w:marLeft w:val="0"/>
      <w:marRight w:val="0"/>
      <w:marTop w:val="0"/>
      <w:marBottom w:val="0"/>
      <w:divBdr>
        <w:top w:val="none" w:sz="0" w:space="0" w:color="auto"/>
        <w:left w:val="none" w:sz="0" w:space="0" w:color="auto"/>
        <w:bottom w:val="none" w:sz="0" w:space="0" w:color="auto"/>
        <w:right w:val="none" w:sz="0" w:space="0" w:color="auto"/>
      </w:divBdr>
    </w:div>
    <w:div w:id="437069658">
      <w:bodyDiv w:val="1"/>
      <w:marLeft w:val="0"/>
      <w:marRight w:val="0"/>
      <w:marTop w:val="0"/>
      <w:marBottom w:val="0"/>
      <w:divBdr>
        <w:top w:val="none" w:sz="0" w:space="0" w:color="auto"/>
        <w:left w:val="none" w:sz="0" w:space="0" w:color="auto"/>
        <w:bottom w:val="none" w:sz="0" w:space="0" w:color="auto"/>
        <w:right w:val="none" w:sz="0" w:space="0" w:color="auto"/>
      </w:divBdr>
    </w:div>
    <w:div w:id="451216912">
      <w:bodyDiv w:val="1"/>
      <w:marLeft w:val="0"/>
      <w:marRight w:val="0"/>
      <w:marTop w:val="0"/>
      <w:marBottom w:val="0"/>
      <w:divBdr>
        <w:top w:val="none" w:sz="0" w:space="0" w:color="auto"/>
        <w:left w:val="none" w:sz="0" w:space="0" w:color="auto"/>
        <w:bottom w:val="none" w:sz="0" w:space="0" w:color="auto"/>
        <w:right w:val="none" w:sz="0" w:space="0" w:color="auto"/>
      </w:divBdr>
    </w:div>
    <w:div w:id="652443262">
      <w:bodyDiv w:val="1"/>
      <w:marLeft w:val="0"/>
      <w:marRight w:val="0"/>
      <w:marTop w:val="0"/>
      <w:marBottom w:val="0"/>
      <w:divBdr>
        <w:top w:val="none" w:sz="0" w:space="0" w:color="auto"/>
        <w:left w:val="none" w:sz="0" w:space="0" w:color="auto"/>
        <w:bottom w:val="none" w:sz="0" w:space="0" w:color="auto"/>
        <w:right w:val="none" w:sz="0" w:space="0" w:color="auto"/>
      </w:divBdr>
    </w:div>
    <w:div w:id="663508335">
      <w:bodyDiv w:val="1"/>
      <w:marLeft w:val="0"/>
      <w:marRight w:val="0"/>
      <w:marTop w:val="0"/>
      <w:marBottom w:val="0"/>
      <w:divBdr>
        <w:top w:val="none" w:sz="0" w:space="0" w:color="auto"/>
        <w:left w:val="none" w:sz="0" w:space="0" w:color="auto"/>
        <w:bottom w:val="none" w:sz="0" w:space="0" w:color="auto"/>
        <w:right w:val="none" w:sz="0" w:space="0" w:color="auto"/>
      </w:divBdr>
    </w:div>
    <w:div w:id="764351413">
      <w:bodyDiv w:val="1"/>
      <w:marLeft w:val="0"/>
      <w:marRight w:val="0"/>
      <w:marTop w:val="0"/>
      <w:marBottom w:val="0"/>
      <w:divBdr>
        <w:top w:val="none" w:sz="0" w:space="0" w:color="auto"/>
        <w:left w:val="none" w:sz="0" w:space="0" w:color="auto"/>
        <w:bottom w:val="none" w:sz="0" w:space="0" w:color="auto"/>
        <w:right w:val="none" w:sz="0" w:space="0" w:color="auto"/>
      </w:divBdr>
    </w:div>
    <w:div w:id="789934226">
      <w:bodyDiv w:val="1"/>
      <w:marLeft w:val="0"/>
      <w:marRight w:val="0"/>
      <w:marTop w:val="0"/>
      <w:marBottom w:val="0"/>
      <w:divBdr>
        <w:top w:val="none" w:sz="0" w:space="0" w:color="auto"/>
        <w:left w:val="none" w:sz="0" w:space="0" w:color="auto"/>
        <w:bottom w:val="none" w:sz="0" w:space="0" w:color="auto"/>
        <w:right w:val="none" w:sz="0" w:space="0" w:color="auto"/>
      </w:divBdr>
    </w:div>
    <w:div w:id="801769116">
      <w:bodyDiv w:val="1"/>
      <w:marLeft w:val="0"/>
      <w:marRight w:val="0"/>
      <w:marTop w:val="0"/>
      <w:marBottom w:val="0"/>
      <w:divBdr>
        <w:top w:val="none" w:sz="0" w:space="0" w:color="auto"/>
        <w:left w:val="none" w:sz="0" w:space="0" w:color="auto"/>
        <w:bottom w:val="none" w:sz="0" w:space="0" w:color="auto"/>
        <w:right w:val="none" w:sz="0" w:space="0" w:color="auto"/>
      </w:divBdr>
    </w:div>
    <w:div w:id="832140892">
      <w:bodyDiv w:val="1"/>
      <w:marLeft w:val="0"/>
      <w:marRight w:val="0"/>
      <w:marTop w:val="0"/>
      <w:marBottom w:val="0"/>
      <w:divBdr>
        <w:top w:val="none" w:sz="0" w:space="0" w:color="auto"/>
        <w:left w:val="none" w:sz="0" w:space="0" w:color="auto"/>
        <w:bottom w:val="none" w:sz="0" w:space="0" w:color="auto"/>
        <w:right w:val="none" w:sz="0" w:space="0" w:color="auto"/>
      </w:divBdr>
    </w:div>
    <w:div w:id="834029465">
      <w:bodyDiv w:val="1"/>
      <w:marLeft w:val="0"/>
      <w:marRight w:val="0"/>
      <w:marTop w:val="0"/>
      <w:marBottom w:val="0"/>
      <w:divBdr>
        <w:top w:val="none" w:sz="0" w:space="0" w:color="auto"/>
        <w:left w:val="none" w:sz="0" w:space="0" w:color="auto"/>
        <w:bottom w:val="none" w:sz="0" w:space="0" w:color="auto"/>
        <w:right w:val="none" w:sz="0" w:space="0" w:color="auto"/>
      </w:divBdr>
    </w:div>
    <w:div w:id="882254667">
      <w:bodyDiv w:val="1"/>
      <w:marLeft w:val="0"/>
      <w:marRight w:val="0"/>
      <w:marTop w:val="0"/>
      <w:marBottom w:val="0"/>
      <w:divBdr>
        <w:top w:val="none" w:sz="0" w:space="0" w:color="auto"/>
        <w:left w:val="none" w:sz="0" w:space="0" w:color="auto"/>
        <w:bottom w:val="none" w:sz="0" w:space="0" w:color="auto"/>
        <w:right w:val="none" w:sz="0" w:space="0" w:color="auto"/>
      </w:divBdr>
    </w:div>
    <w:div w:id="893393794">
      <w:bodyDiv w:val="1"/>
      <w:marLeft w:val="0"/>
      <w:marRight w:val="0"/>
      <w:marTop w:val="0"/>
      <w:marBottom w:val="0"/>
      <w:divBdr>
        <w:top w:val="none" w:sz="0" w:space="0" w:color="auto"/>
        <w:left w:val="none" w:sz="0" w:space="0" w:color="auto"/>
        <w:bottom w:val="none" w:sz="0" w:space="0" w:color="auto"/>
        <w:right w:val="none" w:sz="0" w:space="0" w:color="auto"/>
      </w:divBdr>
    </w:div>
    <w:div w:id="926499887">
      <w:bodyDiv w:val="1"/>
      <w:marLeft w:val="0"/>
      <w:marRight w:val="0"/>
      <w:marTop w:val="0"/>
      <w:marBottom w:val="0"/>
      <w:divBdr>
        <w:top w:val="none" w:sz="0" w:space="0" w:color="auto"/>
        <w:left w:val="none" w:sz="0" w:space="0" w:color="auto"/>
        <w:bottom w:val="none" w:sz="0" w:space="0" w:color="auto"/>
        <w:right w:val="none" w:sz="0" w:space="0" w:color="auto"/>
      </w:divBdr>
    </w:div>
    <w:div w:id="979724703">
      <w:bodyDiv w:val="1"/>
      <w:marLeft w:val="0"/>
      <w:marRight w:val="0"/>
      <w:marTop w:val="0"/>
      <w:marBottom w:val="0"/>
      <w:divBdr>
        <w:top w:val="none" w:sz="0" w:space="0" w:color="auto"/>
        <w:left w:val="none" w:sz="0" w:space="0" w:color="auto"/>
        <w:bottom w:val="none" w:sz="0" w:space="0" w:color="auto"/>
        <w:right w:val="none" w:sz="0" w:space="0" w:color="auto"/>
      </w:divBdr>
    </w:div>
    <w:div w:id="1069693608">
      <w:bodyDiv w:val="1"/>
      <w:marLeft w:val="0"/>
      <w:marRight w:val="0"/>
      <w:marTop w:val="0"/>
      <w:marBottom w:val="0"/>
      <w:divBdr>
        <w:top w:val="none" w:sz="0" w:space="0" w:color="auto"/>
        <w:left w:val="none" w:sz="0" w:space="0" w:color="auto"/>
        <w:bottom w:val="none" w:sz="0" w:space="0" w:color="auto"/>
        <w:right w:val="none" w:sz="0" w:space="0" w:color="auto"/>
      </w:divBdr>
    </w:div>
    <w:div w:id="1172912304">
      <w:bodyDiv w:val="1"/>
      <w:marLeft w:val="0"/>
      <w:marRight w:val="0"/>
      <w:marTop w:val="0"/>
      <w:marBottom w:val="0"/>
      <w:divBdr>
        <w:top w:val="none" w:sz="0" w:space="0" w:color="auto"/>
        <w:left w:val="none" w:sz="0" w:space="0" w:color="auto"/>
        <w:bottom w:val="none" w:sz="0" w:space="0" w:color="auto"/>
        <w:right w:val="none" w:sz="0" w:space="0" w:color="auto"/>
      </w:divBdr>
    </w:div>
    <w:div w:id="1181554835">
      <w:bodyDiv w:val="1"/>
      <w:marLeft w:val="0"/>
      <w:marRight w:val="0"/>
      <w:marTop w:val="0"/>
      <w:marBottom w:val="0"/>
      <w:divBdr>
        <w:top w:val="none" w:sz="0" w:space="0" w:color="auto"/>
        <w:left w:val="none" w:sz="0" w:space="0" w:color="auto"/>
        <w:bottom w:val="none" w:sz="0" w:space="0" w:color="auto"/>
        <w:right w:val="none" w:sz="0" w:space="0" w:color="auto"/>
      </w:divBdr>
    </w:div>
    <w:div w:id="1337344407">
      <w:bodyDiv w:val="1"/>
      <w:marLeft w:val="0"/>
      <w:marRight w:val="0"/>
      <w:marTop w:val="0"/>
      <w:marBottom w:val="0"/>
      <w:divBdr>
        <w:top w:val="none" w:sz="0" w:space="0" w:color="auto"/>
        <w:left w:val="none" w:sz="0" w:space="0" w:color="auto"/>
        <w:bottom w:val="none" w:sz="0" w:space="0" w:color="auto"/>
        <w:right w:val="none" w:sz="0" w:space="0" w:color="auto"/>
      </w:divBdr>
    </w:div>
    <w:div w:id="1338532903">
      <w:bodyDiv w:val="1"/>
      <w:marLeft w:val="0"/>
      <w:marRight w:val="0"/>
      <w:marTop w:val="0"/>
      <w:marBottom w:val="0"/>
      <w:divBdr>
        <w:top w:val="none" w:sz="0" w:space="0" w:color="auto"/>
        <w:left w:val="none" w:sz="0" w:space="0" w:color="auto"/>
        <w:bottom w:val="none" w:sz="0" w:space="0" w:color="auto"/>
        <w:right w:val="none" w:sz="0" w:space="0" w:color="auto"/>
      </w:divBdr>
    </w:div>
    <w:div w:id="1353921340">
      <w:bodyDiv w:val="1"/>
      <w:marLeft w:val="0"/>
      <w:marRight w:val="0"/>
      <w:marTop w:val="0"/>
      <w:marBottom w:val="0"/>
      <w:divBdr>
        <w:top w:val="none" w:sz="0" w:space="0" w:color="auto"/>
        <w:left w:val="none" w:sz="0" w:space="0" w:color="auto"/>
        <w:bottom w:val="none" w:sz="0" w:space="0" w:color="auto"/>
        <w:right w:val="none" w:sz="0" w:space="0" w:color="auto"/>
      </w:divBdr>
      <w:divsChild>
        <w:div w:id="2027322505">
          <w:marLeft w:val="0"/>
          <w:marRight w:val="0"/>
          <w:marTop w:val="0"/>
          <w:marBottom w:val="0"/>
          <w:divBdr>
            <w:top w:val="none" w:sz="0" w:space="0" w:color="auto"/>
            <w:left w:val="none" w:sz="0" w:space="0" w:color="auto"/>
            <w:bottom w:val="none" w:sz="0" w:space="0" w:color="auto"/>
            <w:right w:val="none" w:sz="0" w:space="0" w:color="auto"/>
          </w:divBdr>
          <w:divsChild>
            <w:div w:id="387193154">
              <w:marLeft w:val="0"/>
              <w:marRight w:val="0"/>
              <w:marTop w:val="0"/>
              <w:marBottom w:val="0"/>
              <w:divBdr>
                <w:top w:val="none" w:sz="0" w:space="0" w:color="auto"/>
                <w:left w:val="none" w:sz="0" w:space="0" w:color="auto"/>
                <w:bottom w:val="none" w:sz="0" w:space="0" w:color="auto"/>
                <w:right w:val="none" w:sz="0" w:space="0" w:color="auto"/>
              </w:divBdr>
              <w:divsChild>
                <w:div w:id="1139804184">
                  <w:marLeft w:val="0"/>
                  <w:marRight w:val="0"/>
                  <w:marTop w:val="300"/>
                  <w:marBottom w:val="0"/>
                  <w:divBdr>
                    <w:top w:val="none" w:sz="0" w:space="0" w:color="auto"/>
                    <w:left w:val="none" w:sz="0" w:space="0" w:color="auto"/>
                    <w:bottom w:val="none" w:sz="0" w:space="0" w:color="auto"/>
                    <w:right w:val="none" w:sz="0" w:space="0" w:color="auto"/>
                  </w:divBdr>
                  <w:divsChild>
                    <w:div w:id="68235703">
                      <w:marLeft w:val="3300"/>
                      <w:marRight w:val="300"/>
                      <w:marTop w:val="0"/>
                      <w:marBottom w:val="0"/>
                      <w:divBdr>
                        <w:top w:val="none" w:sz="0" w:space="0" w:color="auto"/>
                        <w:left w:val="none" w:sz="0" w:space="0" w:color="auto"/>
                        <w:bottom w:val="none" w:sz="0" w:space="0" w:color="auto"/>
                        <w:right w:val="none" w:sz="0" w:space="0" w:color="auto"/>
                      </w:divBdr>
                      <w:divsChild>
                        <w:div w:id="1010837757">
                          <w:marLeft w:val="0"/>
                          <w:marRight w:val="0"/>
                          <w:marTop w:val="0"/>
                          <w:marBottom w:val="0"/>
                          <w:divBdr>
                            <w:top w:val="none" w:sz="0" w:space="0" w:color="auto"/>
                            <w:left w:val="none" w:sz="0" w:space="0" w:color="auto"/>
                            <w:bottom w:val="none" w:sz="0" w:space="0" w:color="auto"/>
                            <w:right w:val="none" w:sz="0" w:space="0" w:color="auto"/>
                          </w:divBdr>
                          <w:divsChild>
                            <w:div w:id="764885321">
                              <w:marLeft w:val="0"/>
                              <w:marRight w:val="0"/>
                              <w:marTop w:val="0"/>
                              <w:marBottom w:val="0"/>
                              <w:divBdr>
                                <w:top w:val="none" w:sz="0" w:space="0" w:color="auto"/>
                                <w:left w:val="none" w:sz="0" w:space="0" w:color="auto"/>
                                <w:bottom w:val="none" w:sz="0" w:space="0" w:color="auto"/>
                                <w:right w:val="none" w:sz="0" w:space="0" w:color="auto"/>
                              </w:divBdr>
                              <w:divsChild>
                                <w:div w:id="1264845879">
                                  <w:marLeft w:val="0"/>
                                  <w:marRight w:val="0"/>
                                  <w:marTop w:val="0"/>
                                  <w:marBottom w:val="0"/>
                                  <w:divBdr>
                                    <w:top w:val="none" w:sz="0" w:space="0" w:color="auto"/>
                                    <w:left w:val="none" w:sz="0" w:space="0" w:color="auto"/>
                                    <w:bottom w:val="none" w:sz="0" w:space="0" w:color="auto"/>
                                    <w:right w:val="none" w:sz="0" w:space="0" w:color="auto"/>
                                  </w:divBdr>
                                  <w:divsChild>
                                    <w:div w:id="925576374">
                                      <w:marLeft w:val="0"/>
                                      <w:marRight w:val="0"/>
                                      <w:marTop w:val="0"/>
                                      <w:marBottom w:val="0"/>
                                      <w:divBdr>
                                        <w:top w:val="none" w:sz="0" w:space="0" w:color="auto"/>
                                        <w:left w:val="none" w:sz="0" w:space="0" w:color="auto"/>
                                        <w:bottom w:val="none" w:sz="0" w:space="0" w:color="auto"/>
                                        <w:right w:val="none" w:sz="0" w:space="0" w:color="auto"/>
                                      </w:divBdr>
                                      <w:divsChild>
                                        <w:div w:id="1948778841">
                                          <w:marLeft w:val="-225"/>
                                          <w:marRight w:val="-225"/>
                                          <w:marTop w:val="0"/>
                                          <w:marBottom w:val="0"/>
                                          <w:divBdr>
                                            <w:top w:val="none" w:sz="0" w:space="0" w:color="auto"/>
                                            <w:left w:val="none" w:sz="0" w:space="0" w:color="auto"/>
                                            <w:bottom w:val="none" w:sz="0" w:space="0" w:color="auto"/>
                                            <w:right w:val="none" w:sz="0" w:space="0" w:color="auto"/>
                                          </w:divBdr>
                                          <w:divsChild>
                                            <w:div w:id="336423116">
                                              <w:marLeft w:val="0"/>
                                              <w:marRight w:val="0"/>
                                              <w:marTop w:val="0"/>
                                              <w:marBottom w:val="0"/>
                                              <w:divBdr>
                                                <w:top w:val="none" w:sz="0" w:space="0" w:color="auto"/>
                                                <w:left w:val="none" w:sz="0" w:space="0" w:color="auto"/>
                                                <w:bottom w:val="none" w:sz="0" w:space="0" w:color="auto"/>
                                                <w:right w:val="none" w:sz="0" w:space="0" w:color="auto"/>
                                              </w:divBdr>
                                              <w:divsChild>
                                                <w:div w:id="9825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1606">
      <w:bodyDiv w:val="1"/>
      <w:marLeft w:val="0"/>
      <w:marRight w:val="0"/>
      <w:marTop w:val="0"/>
      <w:marBottom w:val="0"/>
      <w:divBdr>
        <w:top w:val="none" w:sz="0" w:space="0" w:color="auto"/>
        <w:left w:val="none" w:sz="0" w:space="0" w:color="auto"/>
        <w:bottom w:val="none" w:sz="0" w:space="0" w:color="auto"/>
        <w:right w:val="none" w:sz="0" w:space="0" w:color="auto"/>
      </w:divBdr>
    </w:div>
    <w:div w:id="1544824681">
      <w:bodyDiv w:val="1"/>
      <w:marLeft w:val="0"/>
      <w:marRight w:val="0"/>
      <w:marTop w:val="0"/>
      <w:marBottom w:val="0"/>
      <w:divBdr>
        <w:top w:val="none" w:sz="0" w:space="0" w:color="auto"/>
        <w:left w:val="none" w:sz="0" w:space="0" w:color="auto"/>
        <w:bottom w:val="none" w:sz="0" w:space="0" w:color="auto"/>
        <w:right w:val="none" w:sz="0" w:space="0" w:color="auto"/>
      </w:divBdr>
    </w:div>
    <w:div w:id="1555462666">
      <w:bodyDiv w:val="1"/>
      <w:marLeft w:val="0"/>
      <w:marRight w:val="0"/>
      <w:marTop w:val="0"/>
      <w:marBottom w:val="0"/>
      <w:divBdr>
        <w:top w:val="none" w:sz="0" w:space="0" w:color="auto"/>
        <w:left w:val="none" w:sz="0" w:space="0" w:color="auto"/>
        <w:bottom w:val="none" w:sz="0" w:space="0" w:color="auto"/>
        <w:right w:val="none" w:sz="0" w:space="0" w:color="auto"/>
      </w:divBdr>
    </w:div>
    <w:div w:id="1581140302">
      <w:bodyDiv w:val="1"/>
      <w:marLeft w:val="0"/>
      <w:marRight w:val="0"/>
      <w:marTop w:val="0"/>
      <w:marBottom w:val="0"/>
      <w:divBdr>
        <w:top w:val="none" w:sz="0" w:space="0" w:color="auto"/>
        <w:left w:val="none" w:sz="0" w:space="0" w:color="auto"/>
        <w:bottom w:val="none" w:sz="0" w:space="0" w:color="auto"/>
        <w:right w:val="none" w:sz="0" w:space="0" w:color="auto"/>
      </w:divBdr>
    </w:div>
    <w:div w:id="1609191742">
      <w:bodyDiv w:val="1"/>
      <w:marLeft w:val="0"/>
      <w:marRight w:val="0"/>
      <w:marTop w:val="0"/>
      <w:marBottom w:val="0"/>
      <w:divBdr>
        <w:top w:val="none" w:sz="0" w:space="0" w:color="auto"/>
        <w:left w:val="none" w:sz="0" w:space="0" w:color="auto"/>
        <w:bottom w:val="none" w:sz="0" w:space="0" w:color="auto"/>
        <w:right w:val="none" w:sz="0" w:space="0" w:color="auto"/>
      </w:divBdr>
    </w:div>
    <w:div w:id="1631546034">
      <w:bodyDiv w:val="1"/>
      <w:marLeft w:val="0"/>
      <w:marRight w:val="0"/>
      <w:marTop w:val="0"/>
      <w:marBottom w:val="0"/>
      <w:divBdr>
        <w:top w:val="none" w:sz="0" w:space="0" w:color="auto"/>
        <w:left w:val="none" w:sz="0" w:space="0" w:color="auto"/>
        <w:bottom w:val="none" w:sz="0" w:space="0" w:color="auto"/>
        <w:right w:val="none" w:sz="0" w:space="0" w:color="auto"/>
      </w:divBdr>
    </w:div>
    <w:div w:id="1643077729">
      <w:bodyDiv w:val="1"/>
      <w:marLeft w:val="0"/>
      <w:marRight w:val="0"/>
      <w:marTop w:val="0"/>
      <w:marBottom w:val="0"/>
      <w:divBdr>
        <w:top w:val="none" w:sz="0" w:space="0" w:color="auto"/>
        <w:left w:val="none" w:sz="0" w:space="0" w:color="auto"/>
        <w:bottom w:val="none" w:sz="0" w:space="0" w:color="auto"/>
        <w:right w:val="none" w:sz="0" w:space="0" w:color="auto"/>
      </w:divBdr>
    </w:div>
    <w:div w:id="1711421820">
      <w:bodyDiv w:val="1"/>
      <w:marLeft w:val="0"/>
      <w:marRight w:val="0"/>
      <w:marTop w:val="0"/>
      <w:marBottom w:val="0"/>
      <w:divBdr>
        <w:top w:val="none" w:sz="0" w:space="0" w:color="auto"/>
        <w:left w:val="none" w:sz="0" w:space="0" w:color="auto"/>
        <w:bottom w:val="none" w:sz="0" w:space="0" w:color="auto"/>
        <w:right w:val="none" w:sz="0" w:space="0" w:color="auto"/>
      </w:divBdr>
    </w:div>
    <w:div w:id="1726828014">
      <w:bodyDiv w:val="1"/>
      <w:marLeft w:val="0"/>
      <w:marRight w:val="0"/>
      <w:marTop w:val="0"/>
      <w:marBottom w:val="0"/>
      <w:divBdr>
        <w:top w:val="none" w:sz="0" w:space="0" w:color="auto"/>
        <w:left w:val="none" w:sz="0" w:space="0" w:color="auto"/>
        <w:bottom w:val="none" w:sz="0" w:space="0" w:color="auto"/>
        <w:right w:val="none" w:sz="0" w:space="0" w:color="auto"/>
      </w:divBdr>
    </w:div>
    <w:div w:id="1744524007">
      <w:bodyDiv w:val="1"/>
      <w:marLeft w:val="0"/>
      <w:marRight w:val="0"/>
      <w:marTop w:val="0"/>
      <w:marBottom w:val="0"/>
      <w:divBdr>
        <w:top w:val="none" w:sz="0" w:space="0" w:color="auto"/>
        <w:left w:val="none" w:sz="0" w:space="0" w:color="auto"/>
        <w:bottom w:val="none" w:sz="0" w:space="0" w:color="auto"/>
        <w:right w:val="none" w:sz="0" w:space="0" w:color="auto"/>
      </w:divBdr>
    </w:div>
    <w:div w:id="1777484623">
      <w:bodyDiv w:val="1"/>
      <w:marLeft w:val="0"/>
      <w:marRight w:val="0"/>
      <w:marTop w:val="0"/>
      <w:marBottom w:val="0"/>
      <w:divBdr>
        <w:top w:val="none" w:sz="0" w:space="0" w:color="auto"/>
        <w:left w:val="none" w:sz="0" w:space="0" w:color="auto"/>
        <w:bottom w:val="none" w:sz="0" w:space="0" w:color="auto"/>
        <w:right w:val="none" w:sz="0" w:space="0" w:color="auto"/>
      </w:divBdr>
    </w:div>
    <w:div w:id="1789617160">
      <w:bodyDiv w:val="1"/>
      <w:marLeft w:val="0"/>
      <w:marRight w:val="0"/>
      <w:marTop w:val="0"/>
      <w:marBottom w:val="0"/>
      <w:divBdr>
        <w:top w:val="none" w:sz="0" w:space="0" w:color="auto"/>
        <w:left w:val="none" w:sz="0" w:space="0" w:color="auto"/>
        <w:bottom w:val="none" w:sz="0" w:space="0" w:color="auto"/>
        <w:right w:val="none" w:sz="0" w:space="0" w:color="auto"/>
      </w:divBdr>
    </w:div>
    <w:div w:id="1815025041">
      <w:bodyDiv w:val="1"/>
      <w:marLeft w:val="0"/>
      <w:marRight w:val="0"/>
      <w:marTop w:val="0"/>
      <w:marBottom w:val="0"/>
      <w:divBdr>
        <w:top w:val="none" w:sz="0" w:space="0" w:color="auto"/>
        <w:left w:val="none" w:sz="0" w:space="0" w:color="auto"/>
        <w:bottom w:val="none" w:sz="0" w:space="0" w:color="auto"/>
        <w:right w:val="none" w:sz="0" w:space="0" w:color="auto"/>
      </w:divBdr>
    </w:div>
    <w:div w:id="1899658629">
      <w:bodyDiv w:val="1"/>
      <w:marLeft w:val="0"/>
      <w:marRight w:val="0"/>
      <w:marTop w:val="0"/>
      <w:marBottom w:val="0"/>
      <w:divBdr>
        <w:top w:val="none" w:sz="0" w:space="0" w:color="auto"/>
        <w:left w:val="none" w:sz="0" w:space="0" w:color="auto"/>
        <w:bottom w:val="none" w:sz="0" w:space="0" w:color="auto"/>
        <w:right w:val="none" w:sz="0" w:space="0" w:color="auto"/>
      </w:divBdr>
    </w:div>
    <w:div w:id="1924411087">
      <w:bodyDiv w:val="1"/>
      <w:marLeft w:val="0"/>
      <w:marRight w:val="0"/>
      <w:marTop w:val="0"/>
      <w:marBottom w:val="0"/>
      <w:divBdr>
        <w:top w:val="none" w:sz="0" w:space="0" w:color="auto"/>
        <w:left w:val="none" w:sz="0" w:space="0" w:color="auto"/>
        <w:bottom w:val="none" w:sz="0" w:space="0" w:color="auto"/>
        <w:right w:val="none" w:sz="0" w:space="0" w:color="auto"/>
      </w:divBdr>
      <w:divsChild>
        <w:div w:id="2015448005">
          <w:marLeft w:val="0"/>
          <w:marRight w:val="0"/>
          <w:marTop w:val="0"/>
          <w:marBottom w:val="0"/>
          <w:divBdr>
            <w:top w:val="none" w:sz="0" w:space="0" w:color="auto"/>
            <w:left w:val="none" w:sz="0" w:space="0" w:color="auto"/>
            <w:bottom w:val="none" w:sz="0" w:space="0" w:color="auto"/>
            <w:right w:val="none" w:sz="0" w:space="0" w:color="auto"/>
          </w:divBdr>
          <w:divsChild>
            <w:div w:id="427972000">
              <w:marLeft w:val="0"/>
              <w:marRight w:val="0"/>
              <w:marTop w:val="0"/>
              <w:marBottom w:val="0"/>
              <w:divBdr>
                <w:top w:val="none" w:sz="0" w:space="0" w:color="auto"/>
                <w:left w:val="none" w:sz="0" w:space="0" w:color="auto"/>
                <w:bottom w:val="none" w:sz="0" w:space="0" w:color="auto"/>
                <w:right w:val="none" w:sz="0" w:space="0" w:color="auto"/>
              </w:divBdr>
              <w:divsChild>
                <w:div w:id="163764282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63684840">
      <w:bodyDiv w:val="1"/>
      <w:marLeft w:val="0"/>
      <w:marRight w:val="0"/>
      <w:marTop w:val="0"/>
      <w:marBottom w:val="0"/>
      <w:divBdr>
        <w:top w:val="none" w:sz="0" w:space="0" w:color="auto"/>
        <w:left w:val="none" w:sz="0" w:space="0" w:color="auto"/>
        <w:bottom w:val="none" w:sz="0" w:space="0" w:color="auto"/>
        <w:right w:val="none" w:sz="0" w:space="0" w:color="auto"/>
      </w:divBdr>
    </w:div>
    <w:div w:id="1974483305">
      <w:bodyDiv w:val="1"/>
      <w:marLeft w:val="0"/>
      <w:marRight w:val="0"/>
      <w:marTop w:val="0"/>
      <w:marBottom w:val="0"/>
      <w:divBdr>
        <w:top w:val="none" w:sz="0" w:space="0" w:color="auto"/>
        <w:left w:val="none" w:sz="0" w:space="0" w:color="auto"/>
        <w:bottom w:val="none" w:sz="0" w:space="0" w:color="auto"/>
        <w:right w:val="none" w:sz="0" w:space="0" w:color="auto"/>
      </w:divBdr>
    </w:div>
    <w:div w:id="1987933762">
      <w:bodyDiv w:val="1"/>
      <w:marLeft w:val="0"/>
      <w:marRight w:val="0"/>
      <w:marTop w:val="0"/>
      <w:marBottom w:val="0"/>
      <w:divBdr>
        <w:top w:val="none" w:sz="0" w:space="0" w:color="auto"/>
        <w:left w:val="none" w:sz="0" w:space="0" w:color="auto"/>
        <w:bottom w:val="none" w:sz="0" w:space="0" w:color="auto"/>
        <w:right w:val="none" w:sz="0" w:space="0" w:color="auto"/>
      </w:divBdr>
    </w:div>
    <w:div w:id="2053571326">
      <w:bodyDiv w:val="1"/>
      <w:marLeft w:val="0"/>
      <w:marRight w:val="0"/>
      <w:marTop w:val="0"/>
      <w:marBottom w:val="0"/>
      <w:divBdr>
        <w:top w:val="none" w:sz="0" w:space="0" w:color="auto"/>
        <w:left w:val="none" w:sz="0" w:space="0" w:color="auto"/>
        <w:bottom w:val="none" w:sz="0" w:space="0" w:color="auto"/>
        <w:right w:val="none" w:sz="0" w:space="0" w:color="auto"/>
      </w:divBdr>
    </w:div>
    <w:div w:id="21387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ld.gov.au/languages" TargetMode="External"/><Relationship Id="rId18" Type="http://schemas.openxmlformats.org/officeDocument/2006/relationships/hyperlink" Target="mailto:COR.GPP@hpw.qld.gov.au" TargetMode="External"/><Relationship Id="rId26" Type="http://schemas.openxmlformats.org/officeDocument/2006/relationships/hyperlink" Target="http://www.qld.gov.au/housing" TargetMode="External"/><Relationship Id="rId39" Type="http://schemas.openxmlformats.org/officeDocument/2006/relationships/hyperlink" Target="mailto:maroochydorehsc@hpw.qld.gov.au" TargetMode="External"/><Relationship Id="rId21" Type="http://schemas.openxmlformats.org/officeDocument/2006/relationships/footer" Target="footer3.xml"/><Relationship Id="rId34" Type="http://schemas.openxmlformats.org/officeDocument/2006/relationships/hyperlink" Target="mailto:HHSMtIsaRemoteComm@hpw.qld.gov.au" TargetMode="External"/><Relationship Id="rId42" Type="http://schemas.openxmlformats.org/officeDocument/2006/relationships/hyperlink" Target="mailto:rockhamptonhsc@hpw.qld.gov.au" TargetMode="External"/><Relationship Id="rId47" Type="http://schemas.openxmlformats.org/officeDocument/2006/relationships/hyperlink" Target="mailto:inalahsc@hpw.qld.gov.au" TargetMode="External"/><Relationship Id="rId50" Type="http://schemas.openxmlformats.org/officeDocument/2006/relationships/hyperlink" Target="mailto:goldcoasthsc@hpw.qld.gov.au"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9" Type="http://schemas.openxmlformats.org/officeDocument/2006/relationships/hyperlink" Target="mailto:HHS-NPA@hpw.qld.gov.au" TargetMode="External"/><Relationship Id="rId11" Type="http://schemas.openxmlformats.org/officeDocument/2006/relationships/header" Target="header1.xml"/><Relationship Id="rId24" Type="http://schemas.openxmlformats.org/officeDocument/2006/relationships/hyperlink" Target="http://www.hpw.qld.gov.au/" TargetMode="External"/><Relationship Id="rId32" Type="http://schemas.openxmlformats.org/officeDocument/2006/relationships/hyperlink" Target="mailto:mtisahsc@hpw.qld.gov.au" TargetMode="External"/><Relationship Id="rId37" Type="http://schemas.openxmlformats.org/officeDocument/2006/relationships/hyperlink" Target="mailto:emeraldhsc@hpw.qld.gov.au" TargetMode="External"/><Relationship Id="rId40" Type="http://schemas.openxmlformats.org/officeDocument/2006/relationships/hyperlink" Target="mailto:maryboroughhsc@hpw.qld.gov.au" TargetMode="External"/><Relationship Id="rId45" Type="http://schemas.openxmlformats.org/officeDocument/2006/relationships/hyperlink" Target="mailto:chermsidehsc@hpw.qld.gov.au" TargetMode="External"/><Relationship Id="rId53" Type="http://schemas.openxmlformats.org/officeDocument/2006/relationships/footer" Target="footer4.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hpwqld.sharepoint.com/sites/reporting/AnnualReport/Consolidated/Annual%20Report%202017%20Template.docx" TargetMode="External"/><Relationship Id="rId31" Type="http://schemas.openxmlformats.org/officeDocument/2006/relationships/hyperlink" Target="mailto:mackayhsc@hpw.qld.gov.au" TargetMode="External"/><Relationship Id="rId44" Type="http://schemas.openxmlformats.org/officeDocument/2006/relationships/hyperlink" Target="mailto:burandahsc@hpw.qld.gov.au" TargetMode="External"/><Relationship Id="rId52" Type="http://schemas.openxmlformats.org/officeDocument/2006/relationships/hyperlink" Target="mailto:toowoombahsc@hpw.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 TargetMode="External"/><Relationship Id="rId22" Type="http://schemas.openxmlformats.org/officeDocument/2006/relationships/hyperlink" Target="http://mydpw/corp/Planning/Documents/HPWPMFramework.pdf" TargetMode="External"/><Relationship Id="rId27" Type="http://schemas.openxmlformats.org/officeDocument/2006/relationships/hyperlink" Target="mailto:cairnshsc@hpw.qld.gov.au" TargetMode="External"/><Relationship Id="rId30" Type="http://schemas.openxmlformats.org/officeDocument/2006/relationships/hyperlink" Target="mailto:thursdayislandhsc@hpw.qld.gov.au" TargetMode="External"/><Relationship Id="rId35" Type="http://schemas.openxmlformats.org/officeDocument/2006/relationships/hyperlink" Target="mailto:HHS-Palm-Island@hpw.qld.gov.au" TargetMode="External"/><Relationship Id="rId43" Type="http://schemas.openxmlformats.org/officeDocument/2006/relationships/hyperlink" Target="mailto:HHSWoorabindaIndigenousCommunity@hpw.qld.gov.au" TargetMode="External"/><Relationship Id="rId48" Type="http://schemas.openxmlformats.org/officeDocument/2006/relationships/hyperlink" Target="mailto:baysidehsc@hpw.qld.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loganhsc@hpw.qld.gov.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hpw.qld.gov.au/" TargetMode="External"/><Relationship Id="rId25" Type="http://schemas.openxmlformats.org/officeDocument/2006/relationships/hyperlink" Target="mailto:bas@hpw.qld.gov.au" TargetMode="External"/><Relationship Id="rId33" Type="http://schemas.openxmlformats.org/officeDocument/2006/relationships/hyperlink" Target="mailto:HHSMtIsaRemoteComm@hpw.qld.gov.au" TargetMode="External"/><Relationship Id="rId38" Type="http://schemas.openxmlformats.org/officeDocument/2006/relationships/hyperlink" Target="mailto:gladstonehsc@hpw.qld.gov.au" TargetMode="External"/><Relationship Id="rId46" Type="http://schemas.openxmlformats.org/officeDocument/2006/relationships/hyperlink" Target="mailto:fortitudevalleyhsc@hpw.qld.gov.au" TargetMode="External"/><Relationship Id="rId20" Type="http://schemas.openxmlformats.org/officeDocument/2006/relationships/footer" Target="footer2.xml"/><Relationship Id="rId41" Type="http://schemas.openxmlformats.org/officeDocument/2006/relationships/hyperlink" Target="mailto:moretonbayhsc@hpw.qld.gov.au"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data.qld.gov.au/" TargetMode="External"/><Relationship Id="rId28" Type="http://schemas.openxmlformats.org/officeDocument/2006/relationships/hyperlink" Target="mailto:HHS-Cooktown-Hub@hpw.qld.gov.au" TargetMode="External"/><Relationship Id="rId36" Type="http://schemas.openxmlformats.org/officeDocument/2006/relationships/hyperlink" Target="mailto:bundaberghsc@hpw.qld.gov.au" TargetMode="External"/><Relationship Id="rId49" Type="http://schemas.openxmlformats.org/officeDocument/2006/relationships/hyperlink" Target="mailto:ipswichhsc@hpw.qld.gov.au"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W Document" ma:contentTypeID="0x01010B002B443A8F8345DD4DB9EECA380C118F490200B6441F79649A2E4DADD89CA0FBD7FCD0" ma:contentTypeVersion="15" ma:contentTypeDescription="" ma:contentTypeScope="" ma:versionID="eafc0120baae45bb555e57a626ab56f4">
  <xsd:schema xmlns:xsd="http://www.w3.org/2001/XMLSchema" xmlns:xs="http://www.w3.org/2001/XMLSchema" xmlns:p="http://schemas.microsoft.com/office/2006/metadata/properties" xmlns:ns1="http://schemas.microsoft.com/sharepoint/v3" xmlns:ns2="http://schemas.microsoft.com/sharepoint/v3/fields" xmlns:ns3="726603ff-323f-461b-beba-bdd911713299" targetNamespace="http://schemas.microsoft.com/office/2006/metadata/properties" ma:root="true" ma:fieldsID="aacab03a84c03b8f5243f6077e16886a" ns1:_="" ns2:_="" ns3:_="">
    <xsd:import namespace="http://schemas.microsoft.com/sharepoint/v3"/>
    <xsd:import namespace="http://schemas.microsoft.com/sharepoint/v3/fields"/>
    <xsd:import namespace="726603ff-323f-461b-beba-bdd911713299"/>
    <xsd:element name="properties">
      <xsd:complexType>
        <xsd:sequence>
          <xsd:element name="documentManagement">
            <xsd:complexType>
              <xsd:all>
                <xsd:element ref="ns3:Security" minOccurs="0"/>
                <xsd:element ref="ns3:Business_x0020_Area" minOccurs="0"/>
                <xsd:element ref="ns3:Service1" minOccurs="0"/>
                <xsd:element ref="ns1:PublishingContact" minOccurs="0"/>
                <xsd:element ref="ns1:Language" minOccurs="0"/>
                <xsd:element ref="ns2:_Coverage" minOccurs="0"/>
                <xsd:element ref="ns3:Creator" minOccurs="0"/>
                <xsd:element ref="ns2:_Publisher" minOccurs="0"/>
                <xsd:element ref="ns3:Rights" minOccurs="0"/>
                <xsd:element ref="ns3:Availability" minOccurs="0"/>
                <xsd:element ref="ns2:_Identifier" minOccurs="0"/>
                <xsd:element ref="ns2:_Contributor" minOccurs="0"/>
                <xsd:element ref="ns3:AGLS_x0020_File_x0020_Type" minOccurs="0"/>
                <xsd:element ref="ns2:_DCDateCreated" minOccurs="0"/>
                <xsd:element ref="ns2:_Format" minOccurs="0"/>
                <xsd:element ref="ns2:_Relation" minOccurs="0"/>
                <xsd:element ref="ns2:_Source" minOccurs="0"/>
                <xsd:element ref="ns2:_ResourceType" minOccurs="0"/>
                <xsd:element ref="ns3:Copyright_x0020_Status" minOccurs="0"/>
                <xsd:element ref="ns2: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7" nillable="true" ma:displayName="Contact"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8" nillable="true"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9" nillable="true" ma:displayName="Coverage" ma:default="Queensland" ma:description="The extent or scope" ma:internalName="_Coverage" ma:readOnly="false">
      <xsd:simpleType>
        <xsd:restriction base="dms:Text">
          <xsd:maxLength value="255"/>
        </xsd:restriction>
      </xsd:simpleType>
    </xsd:element>
    <xsd:element name="_Publisher" ma:index="11" nillable="true" ma:displayName="Publisher" ma:default="Queensland Department of Housing and Public Works" ma:description="The person, organization or service that published this resource" ma:internalName="_Publisher" ma:readOnly="false">
      <xsd:simpleType>
        <xsd:restriction base="dms:Text">
          <xsd:maxLength value="255"/>
        </xsd:restriction>
      </xsd:simpleType>
    </xsd:element>
    <xsd:element name="_Identifier" ma:index="14" nillable="true" ma:displayName="Resource Identifier" ma:description="An identifying string or number, usually conforming to a formal identification system" ma:internalName="_Identifier">
      <xsd:simpleType>
        <xsd:restriction base="dms:Text"/>
      </xsd:simpleType>
    </xsd:element>
    <xsd:element name="_Contributor" ma:index="15" nillable="true" ma:displayName="Contributor" ma:description="One or more people or organizations that contributed to this resource" ma:internalName="_Contributor">
      <xsd:simpleType>
        <xsd:restriction base="dms:Note">
          <xsd:maxLength value="255"/>
        </xsd:restriction>
      </xsd:simpleType>
    </xsd:element>
    <xsd:element name="_DCDateCreated" ma:index="17" nillable="true" ma:displayName="Date Created" ma:description="The date on which this resource was created" ma:format="DateTime" ma:hidden="true" ma:internalName="_DCDateCreated" ma:readOnly="false">
      <xsd:simpleType>
        <xsd:restriction base="dms:DateTime"/>
      </xsd:simpleType>
    </xsd:element>
    <xsd:element name="_Format" ma:index="18" nillable="true" ma:displayName="Format" ma:description="Media-type, file format or dimensions" ma:hidden="true" ma:internalName="_Format" ma:readOnly="false">
      <xsd:simpleType>
        <xsd:restriction base="dms:Text"/>
      </xsd:simpleType>
    </xsd:element>
    <xsd:element name="_Relation" ma:index="19" nillable="true" ma:displayName="Relation" ma:description="References to related resources" ma:hidden="true" ma:internalName="_Relation" ma:readOnly="false">
      <xsd:simpleType>
        <xsd:restriction base="dms:Note"/>
      </xsd:simpleType>
    </xsd:element>
    <xsd:element name="_Source" ma:index="20" nillable="true" ma:displayName="Source" ma:description="References to resources from which this resource was derived" ma:hidden="true" ma:internalName="_Source" ma:readOnly="false">
      <xsd:simpleType>
        <xsd:restriction base="dms:Note"/>
      </xsd:simpleType>
    </xsd:element>
    <xsd:element name="_ResourceType" ma:index="22" nillable="true" ma:displayName="Resource Type" ma:description="A set of categories, functions, genres or aggregation levels" ma:hidden="true" ma:internalName="_ResourceType" ma:readOnly="false">
      <xsd:simpleType>
        <xsd:restriction base="dms:Text"/>
      </xsd:simpleType>
    </xsd:element>
    <xsd:element name="_DCDateModified" ma:index="30" nillable="true" ma:displayName="Date Modified" ma:description="The date on which this resource was last modified" ma:format="DateTime" ma:hidden="tru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6603ff-323f-461b-beba-bdd911713299" elementFormDefault="qualified">
    <xsd:import namespace="http://schemas.microsoft.com/office/2006/documentManagement/types"/>
    <xsd:import namespace="http://schemas.microsoft.com/office/infopath/2007/PartnerControls"/>
    <xsd:element name="Security" ma:index="4" nillable="true" ma:displayName="Security" ma:default="Public" ma:format="Dropdown" ma:internalName="Security" ma:readOnly="false">
      <xsd:simpleType>
        <xsd:restriction base="dms:Choice">
          <xsd:enumeration value="Unclassified"/>
          <xsd:enumeration value="Public"/>
          <xsd:enumeration value="In-confidence"/>
          <xsd:enumeration value="Protected"/>
          <xsd:enumeration value="Highly protected"/>
        </xsd:restriction>
      </xsd:simpleType>
    </xsd:element>
    <xsd:element name="Business_x0020_Area" ma:index="5" nillable="true" ma:displayName="Business Area" ma:format="Dropdown" ma:internalName="Business_x0020_Area">
      <xsd:simpleType>
        <xsd:restriction base="dms:Choice">
          <xsd:enumeration value="Dept corporate"/>
          <xsd:enumeration value="Housing Services"/>
          <xsd:enumeration value="Building and Asset Services"/>
          <xsd:enumeration value="Office of the Registrar"/>
          <xsd:enumeration value="Procurement Transformation"/>
          <xsd:enumeration value="Building Industry and Policy"/>
          <xsd:enumeration value="Bldg Codes Qld"/>
          <xsd:enumeration value="Goprint"/>
          <xsd:enumeration value="Project Services"/>
          <xsd:enumeration value="QBuild"/>
          <xsd:enumeration value="QFleet"/>
          <xsd:enumeration value="QGCPO"/>
          <xsd:enumeration value="SDS"/>
          <xsd:enumeration value="SGS"/>
          <xsd:enumeration value="Works"/>
        </xsd:restriction>
      </xsd:simpleType>
    </xsd:element>
    <xsd:element name="Service1" ma:index="6" nillable="true" ma:displayName="Service" ma:format="Dropdown" ma:internalName="Service1">
      <xsd:simpleType>
        <xsd:restriction base="dms:Choice">
          <xsd:enumeration value="Construction"/>
          <xsd:enumeration value="Housing"/>
          <xsd:enumeration value="Facilities management"/>
          <xsd:enumeration value="Heritage"/>
          <xsd:enumeration value="Procurement"/>
          <xsd:enumeration value="ICT"/>
          <xsd:enumeration value="Supply and disposal"/>
          <xsd:enumeration value="Vehicles"/>
          <xsd:enumeration value="About us"/>
          <xsd:enumeration value="Kiosk"/>
        </xsd:restriction>
      </xsd:simpleType>
    </xsd:element>
    <xsd:element name="Creator" ma:index="10" nillable="true" ma:displayName="Creator" ma:default="Queensland Department of Housing and Public Works" ma:internalName="Creator" ma:readOnly="false">
      <xsd:simpleType>
        <xsd:restriction base="dms:Text">
          <xsd:maxLength value="255"/>
        </xsd:restriction>
      </xsd:simpleType>
    </xsd:element>
    <xsd:element name="Rights" ma:index="12" nillable="true" ma:displayName="Rights" ma:default="State of Queensland (Department of Housing and Public Works)" ma:internalName="Rights" ma:readOnly="false">
      <xsd:simpleType>
        <xsd:restriction base="dms:Text">
          <xsd:maxLength value="255"/>
        </xsd:restriction>
      </xsd:simpleType>
    </xsd:element>
    <xsd:element name="Availability" ma:index="13" nillable="true" ma:displayName="Availability" ma:description="If available offline, explain how.&#10;(AGLS conditional requirement)" ma:internalName="Availability" ma:readOnly="false">
      <xsd:simpleType>
        <xsd:restriction base="dms:Note">
          <xsd:maxLength value="255"/>
        </xsd:restriction>
      </xsd:simpleType>
    </xsd:element>
    <xsd:element name="AGLS_x0020_File_x0020_Type" ma:index="16" nillable="true" ma:displayName="AGLS File Type Document" ma:description="Categorise items to AGLS standard file types." ma:format="Dropdown" ma:internalName="AGLS_x0020_File_x0020_Type" ma:readOnly="false">
      <xsd:simpleType>
        <xsd:restriction base="dms:Choice">
          <xsd:enumeration value="agenda"/>
          <xsd:enumeration value="agreement"/>
          <xsd:enumeration value="brochure"/>
          <xsd:enumeration value="checklist"/>
          <xsd:enumeration value="contract"/>
          <xsd:enumeration value="fact sheet"/>
          <xsd:enumeration value="form"/>
          <xsd:enumeration value="government gazette"/>
          <xsd:enumeration value="guidelines"/>
          <xsd:enumeration value="journal"/>
          <xsd:enumeration value="letter"/>
          <xsd:enumeration value="log"/>
          <xsd:enumeration value="media release"/>
          <xsd:enumeration value="meeting minutes"/>
          <xsd:enumeration value="memorandum"/>
          <xsd:enumeration value="newsletter"/>
          <xsd:enumeration value="policy statement"/>
          <xsd:enumeration value="procedure"/>
          <xsd:enumeration value="presentation"/>
          <xsd:enumeration value="report"/>
          <xsd:enumeration value="template"/>
        </xsd:restriction>
      </xsd:simpleType>
    </xsd:element>
    <xsd:element name="Copyright_x0020_Status" ma:index="29" nillable="true" ma:displayName="Copyright Status" ma:format="Dropdown" ma:hidden="true" ma:internalName="Copyright_x0020_Status" ma:readOnly="false">
      <xsd:simpleType>
        <xsd:restriction base="dms:Choice">
          <xsd:enumeration value="Attribution (BY),"/>
          <xsd:enumeration value="Attribution Non Commercial (BY-NC)"/>
          <xsd:enumeration value="Attribution-Share Alike (BY-SA)"/>
          <xsd:enumeration value="Attribution – No Derivatives (BY-ND)"/>
          <xsd:enumeration value="Attribution – Non Commercial – Share Alike (BY-NC-SA)"/>
          <xsd:enumeration value="Attribution – Non Commercial – No Derivatives (BY-NC–ND)"/>
          <xsd:enumeration value="Restricted Lice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ma:displayName="Subject"/>
        <xsd:element ref="dc:description" minOccurs="0" maxOccurs="1" ma:index="2" ma:displayName="Description"/>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Contact xmlns="http://schemas.microsoft.com/sharepoint/v3">
      <UserInfo>
        <DisplayName>VANE Rebecca</DisplayName>
        <AccountId>1108</AccountId>
        <AccountType/>
      </UserInfo>
    </PublishingContact>
    <_Coverage xmlns="http://schemas.microsoft.com/sharepoint/v3/fields">Queensland</_Coverage>
    <_Contributor xmlns="http://schemas.microsoft.com/sharepoint/v3/fields" xsi:nil="true"/>
    <Security xmlns="726603ff-323f-461b-beba-bdd911713299">Public</Security>
    <Language xmlns="http://schemas.microsoft.com/sharepoint/v3">English</Language>
    <Business_x0020_Area xmlns="726603ff-323f-461b-beba-bdd911713299">Dept corporate</Business_x0020_Area>
    <_Identifier xmlns="http://schemas.microsoft.com/sharepoint/v3/fields" xsi:nil="true"/>
    <AGLS_x0020_File_x0020_Type xmlns="726603ff-323f-461b-beba-bdd911713299">report</AGLS_x0020_File_x0020_Type>
    <Service1 xmlns="726603ff-323f-461b-beba-bdd911713299">About us</Service1>
    <Creator xmlns="726603ff-323f-461b-beba-bdd911713299">Queensland Department of Housing and Public Works</Creator>
    <_Publisher xmlns="http://schemas.microsoft.com/sharepoint/v3/fields">Queensland Department of Housing and Public Works</_Publisher>
    <Rights xmlns="726603ff-323f-461b-beba-bdd911713299">State of Queensland (Department of Housing and Public Works)</Rights>
    <Availability xmlns="726603ff-323f-461b-beba-bdd911713299" xsi:nil="true"/>
    <_Source xmlns="http://schemas.microsoft.com/sharepoint/v3/fields" xsi:nil="true"/>
    <_DCDateModified xmlns="http://schemas.microsoft.com/sharepoint/v3/fields" xsi:nil="true"/>
    <Copyright_x0020_Status xmlns="726603ff-323f-461b-beba-bdd911713299" xsi:nil="true"/>
    <_Relation xmlns="http://schemas.microsoft.com/sharepoint/v3/fields" xsi:nil="true"/>
    <_Format xmlns="http://schemas.microsoft.com/sharepoint/v3/fields" xsi:nil="true"/>
    <_ResourceType xmlns="http://schemas.microsoft.com/sharepoint/v3/fields"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D492F-9E18-4AD6-B91A-8F9FE5B3FD9A}"/>
</file>

<file path=customXml/itemProps2.xml><?xml version="1.0" encoding="utf-8"?>
<ds:datastoreItem xmlns:ds="http://schemas.openxmlformats.org/officeDocument/2006/customXml" ds:itemID="{22B4E0A0-FCAC-4DED-9900-1C2645710A66}"/>
</file>

<file path=customXml/itemProps3.xml><?xml version="1.0" encoding="utf-8"?>
<ds:datastoreItem xmlns:ds="http://schemas.openxmlformats.org/officeDocument/2006/customXml" ds:itemID="{7771DC96-D4BB-4400-8C85-F2DFA98FD5A9}"/>
</file>

<file path=customXml/itemProps4.xml><?xml version="1.0" encoding="utf-8"?>
<ds:datastoreItem xmlns:ds="http://schemas.openxmlformats.org/officeDocument/2006/customXml" ds:itemID="{F99B33CB-D958-431B-B4D0-A0E959C71D16}"/>
</file>

<file path=docProps/app.xml><?xml version="1.0" encoding="utf-8"?>
<Properties xmlns="http://schemas.openxmlformats.org/officeDocument/2006/extended-properties" xmlns:vt="http://schemas.openxmlformats.org/officeDocument/2006/docPropsVTypes">
  <Template>Normal.dotm</Template>
  <TotalTime>3</TotalTime>
  <Pages>92</Pages>
  <Words>28024</Words>
  <Characters>159739</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2016-17</dc:title>
  <dc:subject/>
  <dc:creator/>
  <cp:keywords>annual report; housing and public works; hpw</cp:keywords>
  <dc:description/>
  <cp:lastModifiedBy>BRIDGE Kelly</cp:lastModifiedBy>
  <cp:revision>7</cp:revision>
  <cp:lastPrinted>2017-09-26T05:10:00Z</cp:lastPrinted>
  <dcterms:created xsi:type="dcterms:W3CDTF">2017-10-12T00:19:00Z</dcterms:created>
  <dcterms:modified xsi:type="dcterms:W3CDTF">2017-10-12T00:22:00Z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0x01010B002B443A8F8345DD4DB9EECA380C118F490200B6441F79649A2E4DADD89CA0FBD7FCD0</vt:lpwstr>
  </property>
  <property fmtid="{D5CDD505-2E9C-101B-9397-08002B2CF9AE}" pid="3" name="Order">
    <vt:r8>1340500</vt:r8>
  </property>
  <property fmtid="{D5CDD505-2E9C-101B-9397-08002B2CF9AE}" pid="4" name="xd_Signature">
    <vt:bool>false</vt:bool>
  </property>
  <property fmtid="{D5CDD505-2E9C-101B-9397-08002B2CF9AE}" pid="5" name="xd_ProgID">
    <vt:lpwstr/>
  </property>
  <property fmtid="{D5CDD505-2E9C-101B-9397-08002B2CF9AE}" pid="7" name="wic_System_Copyright">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2" name="_RightsManagement">
    <vt:lpwstr/>
  </property>
  <property fmtid="{D5CDD505-2E9C-101B-9397-08002B2CF9AE}" pid="13" name="vti_imgdate">
    <vt:lpwstr/>
  </property>
</Properties>
</file>